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DDAD8">
      <w:pPr>
        <w:rPr>
          <w:rFonts w:ascii="Times New Roman" w:hAnsi="Times New Roman" w:eastAsia="Arial" w:cs="Times New Roman"/>
          <w:b/>
          <w:color w:val="000000"/>
          <w:kern w:val="0"/>
          <w:sz w:val="22"/>
          <w:szCs w:val="22"/>
        </w:rPr>
      </w:pPr>
    </w:p>
    <w:p w14:paraId="03419B51">
      <w:pPr>
        <w:pStyle w:val="3"/>
        <w:spacing w:after="0" w:line="360" w:lineRule="exact"/>
        <w:jc w:val="center"/>
        <w:rPr>
          <w:rFonts w:ascii="Times New Roman" w:hAnsi="Times New Roman" w:eastAsia="Arial"/>
          <w:bCs w:val="0"/>
          <w:color w:val="000000"/>
          <w:kern w:val="0"/>
          <w:sz w:val="24"/>
          <w:szCs w:val="24"/>
        </w:rPr>
      </w:pPr>
      <w:r>
        <w:rPr>
          <w:rFonts w:ascii="Times New Roman" w:hAnsi="Times New Roman" w:eastAsia="Arial"/>
          <w:bCs w:val="0"/>
          <w:color w:val="000000"/>
          <w:kern w:val="0"/>
          <w:sz w:val="24"/>
          <w:szCs w:val="24"/>
        </w:rPr>
        <w:t>INVITATION TO BID</w:t>
      </w:r>
    </w:p>
    <w:p w14:paraId="06F015DF">
      <w:pPr>
        <w:spacing w:line="360" w:lineRule="exact"/>
        <w:ind w:firstLine="440" w:firstLineChars="200"/>
        <w:rPr>
          <w:rFonts w:ascii="Times New Roman" w:hAnsi="Times New Roman" w:eastAsia="方正仿宋简体" w:cs="Times New Roman"/>
          <w:sz w:val="22"/>
          <w:szCs w:val="22"/>
        </w:rPr>
      </w:pPr>
    </w:p>
    <w:p w14:paraId="4383BC45">
      <w:pPr>
        <w:pStyle w:val="11"/>
        <w:spacing w:line="360" w:lineRule="exact"/>
        <w:ind w:left="420" w:hanging="420" w:hangingChars="190"/>
        <w:outlineLvl w:val="0"/>
        <w:rPr>
          <w:rFonts w:ascii="Times New Roman" w:hAnsi="Times New Roman" w:eastAsia="方正黑体简体" w:cs="Times New Roman"/>
          <w:b/>
          <w:bCs/>
          <w:sz w:val="22"/>
          <w:szCs w:val="22"/>
        </w:rPr>
      </w:pPr>
      <w:r>
        <w:rPr>
          <w:rFonts w:ascii="Times New Roman" w:hAnsi="Times New Roman" w:eastAsia="方正黑体简体" w:cs="Times New Roman"/>
          <w:b/>
          <w:bCs/>
          <w:sz w:val="22"/>
          <w:szCs w:val="22"/>
        </w:rPr>
        <w:t xml:space="preserve">Tenderee: CNPC Bohai Drilling Engineering Company Limited- Iraq Branch </w:t>
      </w:r>
    </w:p>
    <w:p w14:paraId="2FDA6CA3">
      <w:pPr>
        <w:pStyle w:val="11"/>
        <w:spacing w:line="360" w:lineRule="exact"/>
        <w:ind w:left="420" w:hanging="420" w:hangingChars="190"/>
        <w:outlineLvl w:val="0"/>
        <w:rPr>
          <w:rFonts w:ascii="Times New Roman" w:hAnsi="Times New Roman" w:eastAsia="方正黑体简体" w:cs="Times New Roman"/>
          <w:b/>
          <w:bCs/>
          <w:sz w:val="22"/>
          <w:szCs w:val="22"/>
        </w:rPr>
      </w:pPr>
      <w:r>
        <w:rPr>
          <w:rFonts w:ascii="Times New Roman" w:hAnsi="Times New Roman" w:eastAsia="方正黑体简体" w:cs="Times New Roman"/>
          <w:b/>
          <w:bCs/>
          <w:sz w:val="22"/>
          <w:szCs w:val="22"/>
        </w:rPr>
        <w:t xml:space="preserve">Subject: Purchasing of Membrane Tube </w:t>
      </w:r>
    </w:p>
    <w:p w14:paraId="69868201">
      <w:pPr>
        <w:pStyle w:val="11"/>
        <w:spacing w:line="360" w:lineRule="exact"/>
        <w:ind w:left="420" w:hanging="420" w:hangingChars="190"/>
        <w:outlineLvl w:val="0"/>
        <w:rPr>
          <w:rFonts w:ascii="Times New Roman" w:hAnsi="Times New Roman" w:eastAsia="方正黑体简体" w:cs="Times New Roman"/>
          <w:b/>
          <w:bCs/>
          <w:sz w:val="22"/>
          <w:szCs w:val="22"/>
        </w:rPr>
      </w:pPr>
      <w:r>
        <w:rPr>
          <w:rFonts w:ascii="Times New Roman" w:hAnsi="Times New Roman" w:eastAsia="方正黑体简体" w:cs="Times New Roman"/>
          <w:b/>
          <w:bCs/>
          <w:sz w:val="22"/>
          <w:szCs w:val="22"/>
        </w:rPr>
        <w:t>Tender No.: BHDC-BID-2026-077</w:t>
      </w:r>
    </w:p>
    <w:p w14:paraId="68364391">
      <w:pPr>
        <w:pStyle w:val="11"/>
        <w:spacing w:line="360" w:lineRule="exact"/>
        <w:ind w:left="420" w:hanging="420" w:hangingChars="190"/>
        <w:outlineLvl w:val="0"/>
        <w:rPr>
          <w:rFonts w:ascii="Times New Roman" w:hAnsi="Times New Roman" w:eastAsia="方正黑体简体" w:cs="Times New Roman"/>
          <w:b/>
          <w:bCs/>
          <w:color w:val="auto"/>
          <w:sz w:val="22"/>
          <w:szCs w:val="22"/>
          <w:highlight w:val="none"/>
        </w:rPr>
      </w:pPr>
      <w:r>
        <w:rPr>
          <w:rFonts w:ascii="Times New Roman" w:hAnsi="Times New Roman" w:eastAsia="方正黑体简体" w:cs="Times New Roman"/>
          <w:b/>
          <w:bCs/>
          <w:color w:val="auto"/>
          <w:sz w:val="22"/>
          <w:szCs w:val="22"/>
          <w:highlight w:val="none"/>
        </w:rPr>
        <w:t xml:space="preserve">Date: Sep </w:t>
      </w:r>
      <w:r>
        <w:rPr>
          <w:rFonts w:hint="eastAsia" w:ascii="Times New Roman" w:hAnsi="Times New Roman" w:eastAsia="方正黑体简体" w:cs="Times New Roman"/>
          <w:b/>
          <w:bCs/>
          <w:color w:val="auto"/>
          <w:sz w:val="22"/>
          <w:szCs w:val="22"/>
          <w:highlight w:val="none"/>
          <w:lang w:val="en-US" w:eastAsia="zh-CN"/>
        </w:rPr>
        <w:t>19</w:t>
      </w:r>
      <w:r>
        <w:rPr>
          <w:rFonts w:ascii="Times New Roman" w:hAnsi="Times New Roman" w:eastAsia="方正黑体简体" w:cs="Times New Roman"/>
          <w:b/>
          <w:bCs/>
          <w:color w:val="auto"/>
          <w:sz w:val="22"/>
          <w:szCs w:val="22"/>
          <w:highlight w:val="none"/>
        </w:rPr>
        <w:t>, 2026</w:t>
      </w:r>
    </w:p>
    <w:p w14:paraId="04CAFE67">
      <w:pPr>
        <w:pStyle w:val="11"/>
        <w:ind w:left="420" w:hanging="420" w:hangingChars="190"/>
        <w:outlineLvl w:val="0"/>
        <w:rPr>
          <w:rFonts w:ascii="Times New Roman" w:hAnsi="Times New Roman" w:eastAsia="方正黑体简体" w:cs="Times New Roman"/>
          <w:b/>
          <w:bCs/>
          <w:sz w:val="22"/>
          <w:szCs w:val="22"/>
          <w:highlight w:val="yellow"/>
        </w:rPr>
      </w:pPr>
    </w:p>
    <w:p w14:paraId="7A8E5808">
      <w:pPr>
        <w:pStyle w:val="11"/>
        <w:spacing w:line="360" w:lineRule="exact"/>
        <w:ind w:firstLine="0"/>
        <w:outlineLvl w:val="0"/>
        <w:rPr>
          <w:rFonts w:ascii="Times New Roman" w:hAnsi="Times New Roman" w:eastAsia="方正仿宋简体" w:cs="Times New Roman"/>
          <w:sz w:val="22"/>
          <w:szCs w:val="22"/>
        </w:rPr>
      </w:pPr>
      <w:r>
        <w:rPr>
          <w:rFonts w:ascii="Times New Roman" w:hAnsi="Times New Roman" w:eastAsia="方正仿宋简体" w:cs="Times New Roman"/>
          <w:sz w:val="22"/>
          <w:szCs w:val="22"/>
        </w:rPr>
        <w:t>In order to meet the needs of production and business operations, the matters concerning this tender project are hereby announced as follows: This tender is an open tender, and bidders (hereinafter referred to as "Bidders") who meet the qualification requirements are welcome to participate.</w:t>
      </w:r>
    </w:p>
    <w:p w14:paraId="41D427F6">
      <w:pPr>
        <w:pStyle w:val="11"/>
        <w:ind w:firstLine="0"/>
        <w:outlineLvl w:val="0"/>
        <w:rPr>
          <w:rFonts w:ascii="Times New Roman" w:hAnsi="Times New Roman" w:eastAsia="方正仿宋简体" w:cs="Times New Roman"/>
          <w:sz w:val="22"/>
          <w:szCs w:val="22"/>
        </w:rPr>
      </w:pPr>
    </w:p>
    <w:p w14:paraId="030DE85B">
      <w:pPr>
        <w:pStyle w:val="11"/>
        <w:spacing w:line="360" w:lineRule="exact"/>
        <w:ind w:firstLine="0"/>
        <w:outlineLvl w:val="0"/>
        <w:rPr>
          <w:rFonts w:ascii="Times New Roman" w:hAnsi="Times New Roman" w:eastAsia="方正仿宋简体" w:cs="Times New Roman"/>
          <w:b/>
          <w:bCs/>
          <w:sz w:val="22"/>
          <w:szCs w:val="22"/>
        </w:rPr>
      </w:pPr>
      <w:r>
        <w:rPr>
          <w:rFonts w:ascii="Times New Roman" w:hAnsi="Times New Roman" w:eastAsia="方正黑体简体" w:cs="Times New Roman"/>
          <w:b/>
          <w:bCs/>
          <w:sz w:val="22"/>
          <w:szCs w:val="22"/>
        </w:rPr>
        <w:t>1. Scope of Service</w:t>
      </w:r>
    </w:p>
    <w:p w14:paraId="47979252">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b/>
          <w:bCs/>
          <w:sz w:val="22"/>
          <w:szCs w:val="22"/>
        </w:rPr>
        <w:t xml:space="preserve">Subject: </w:t>
      </w:r>
      <w:r>
        <w:rPr>
          <w:rFonts w:ascii="Times New Roman" w:hAnsi="Times New Roman" w:eastAsia="方正仿宋简体" w:cs="Times New Roman"/>
          <w:sz w:val="22"/>
          <w:szCs w:val="22"/>
        </w:rPr>
        <w:t>For the Missan Workover and Stimulation Project, seven workover rigs and three stimulation units have been deployed to perform the 76 ACTIVITIES OF WORKOVER, ESP REPLACEMENT AND ASSOCIATED SERVICES AGREEMENT and 64 ACTIVITIES OF COMPLETION AND ASSOCIATED SERVICES AGREEMENT. There are four sets of membrane nitrogen generators that use nitrogen‑filtering membrane tubes as their critical components. These membrane tubes have never been replaced since leaving the factory, and testing has shown that they have reached the end of their service life. In accordance with equipment operation and maintenance specifications, spare membrane tubes for the nitrogen generation equipment need to be procured to guarantee production and construction operations.</w:t>
      </w:r>
    </w:p>
    <w:p w14:paraId="1CD53487">
      <w:pPr>
        <w:rPr>
          <w:rFonts w:ascii="Times New Roman" w:hAnsi="Times New Roman" w:eastAsia="方正仿宋简体" w:cs="Times New Roman"/>
          <w:sz w:val="22"/>
          <w:szCs w:val="22"/>
        </w:rPr>
      </w:pPr>
    </w:p>
    <w:p w14:paraId="3A4CD644">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b/>
          <w:bCs/>
          <w:sz w:val="22"/>
          <w:szCs w:val="22"/>
        </w:rPr>
        <w:t>1.</w:t>
      </w:r>
      <w:r>
        <w:rPr>
          <w:rFonts w:hint="eastAsia" w:ascii="Times New Roman" w:hAnsi="Times New Roman" w:eastAsia="方正仿宋简体" w:cs="Times New Roman"/>
          <w:b/>
          <w:bCs/>
          <w:sz w:val="22"/>
          <w:szCs w:val="22"/>
        </w:rPr>
        <w:t xml:space="preserve">1 </w:t>
      </w:r>
      <w:r>
        <w:rPr>
          <w:rFonts w:ascii="Times New Roman" w:hAnsi="Times New Roman" w:eastAsia="方正仿宋简体" w:cs="Times New Roman"/>
          <w:b/>
          <w:bCs/>
          <w:sz w:val="22"/>
          <w:szCs w:val="22"/>
        </w:rPr>
        <w:t xml:space="preserve">Procurement Standard: </w:t>
      </w:r>
      <w:r>
        <w:rPr>
          <w:rFonts w:ascii="Times New Roman" w:hAnsi="Times New Roman" w:eastAsia="方正仿宋简体" w:cs="Times New Roman"/>
          <w:sz w:val="22"/>
          <w:szCs w:val="22"/>
        </w:rPr>
        <w:t>The scope of tender covers spare parts for nitrogen‑generator membrane tubes, with unit prices fixed in accordance with the tender scope and content</w:t>
      </w:r>
      <w:r>
        <w:rPr>
          <w:rFonts w:hint="eastAsia" w:ascii="Times New Roman" w:hAnsi="Times New Roman" w:eastAsia="方正仿宋简体" w:cs="Times New Roman"/>
          <w:sz w:val="22"/>
          <w:szCs w:val="22"/>
        </w:rPr>
        <w:t>.</w:t>
      </w:r>
    </w:p>
    <w:p w14:paraId="667364F2">
      <w:pPr>
        <w:rPr>
          <w:rFonts w:ascii="Times New Roman" w:hAnsi="Times New Roman" w:eastAsia="宋体" w:cs="Times New Roman"/>
          <w:b/>
          <w:bCs/>
          <w:sz w:val="20"/>
          <w:szCs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ascii="Times New Roman" w:hAnsi="Times New Roman" w:eastAsia="宋体" w:cs="Times New Roman"/>
          <w:b/>
          <w:bCs/>
          <w:sz w:val="20"/>
          <w:szCs w:val="20"/>
        </w:rPr>
        <w:br w:type="page"/>
      </w:r>
    </w:p>
    <w:p w14:paraId="078DB6D6">
      <w:pPr>
        <w:spacing w:line="360" w:lineRule="exact"/>
        <w:jc w:val="center"/>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TECHNICAL REQUIREPMENTS</w:t>
      </w:r>
    </w:p>
    <w:tbl>
      <w:tblPr>
        <w:tblStyle w:val="7"/>
        <w:tblW w:w="4895" w:type="pct"/>
        <w:tblInd w:w="84" w:type="dxa"/>
        <w:tblLayout w:type="fixed"/>
        <w:tblCellMar>
          <w:top w:w="0" w:type="dxa"/>
          <w:left w:w="108" w:type="dxa"/>
          <w:bottom w:w="0" w:type="dxa"/>
          <w:right w:w="108" w:type="dxa"/>
        </w:tblCellMar>
      </w:tblPr>
      <w:tblGrid>
        <w:gridCol w:w="678"/>
        <w:gridCol w:w="2235"/>
        <w:gridCol w:w="2615"/>
        <w:gridCol w:w="5910"/>
        <w:gridCol w:w="1046"/>
        <w:gridCol w:w="1392"/>
      </w:tblGrid>
      <w:tr w14:paraId="50050763">
        <w:tblPrEx>
          <w:tblCellMar>
            <w:top w:w="0" w:type="dxa"/>
            <w:left w:w="108" w:type="dxa"/>
            <w:bottom w:w="0" w:type="dxa"/>
            <w:right w:w="108" w:type="dxa"/>
          </w:tblCellMar>
        </w:tblPrEx>
        <w:trPr>
          <w:cantSplit/>
          <w:trHeight w:val="319" w:hRule="atLeast"/>
          <w:tblHeader/>
        </w:trPr>
        <w:tc>
          <w:tcPr>
            <w:tcW w:w="679" w:type="dxa"/>
            <w:vMerge w:val="restart"/>
            <w:tcBorders>
              <w:top w:val="single" w:color="auto" w:sz="4" w:space="0"/>
              <w:left w:val="single" w:color="auto" w:sz="4" w:space="0"/>
              <w:bottom w:val="single" w:color="auto" w:sz="4" w:space="0"/>
              <w:right w:val="single" w:color="auto" w:sz="4" w:space="0"/>
            </w:tcBorders>
            <w:vAlign w:val="center"/>
          </w:tcPr>
          <w:p w14:paraId="62ABEA56">
            <w:pPr>
              <w:widowControl/>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No.</w:t>
            </w:r>
          </w:p>
        </w:tc>
        <w:tc>
          <w:tcPr>
            <w:tcW w:w="2235" w:type="dxa"/>
            <w:vMerge w:val="restart"/>
            <w:tcBorders>
              <w:top w:val="single" w:color="auto" w:sz="4" w:space="0"/>
              <w:left w:val="single" w:color="auto" w:sz="4" w:space="0"/>
              <w:bottom w:val="single" w:color="auto" w:sz="4" w:space="0"/>
              <w:right w:val="single" w:color="auto" w:sz="4" w:space="0"/>
            </w:tcBorders>
            <w:vAlign w:val="center"/>
          </w:tcPr>
          <w:p w14:paraId="7849C0BA">
            <w:pPr>
              <w:widowControl/>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Description</w:t>
            </w:r>
          </w:p>
        </w:tc>
        <w:tc>
          <w:tcPr>
            <w:tcW w:w="2616" w:type="dxa"/>
            <w:vMerge w:val="restart"/>
            <w:tcBorders>
              <w:top w:val="single" w:color="auto" w:sz="4" w:space="0"/>
              <w:left w:val="single" w:color="auto" w:sz="4" w:space="0"/>
              <w:bottom w:val="single" w:color="auto" w:sz="4" w:space="0"/>
              <w:right w:val="single" w:color="auto" w:sz="4" w:space="0"/>
            </w:tcBorders>
            <w:vAlign w:val="center"/>
          </w:tcPr>
          <w:p w14:paraId="40739775">
            <w:pPr>
              <w:widowControl/>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Specification</w:t>
            </w:r>
          </w:p>
        </w:tc>
        <w:tc>
          <w:tcPr>
            <w:tcW w:w="5911" w:type="dxa"/>
            <w:vMerge w:val="restart"/>
            <w:tcBorders>
              <w:top w:val="single" w:color="auto" w:sz="4" w:space="0"/>
              <w:left w:val="single" w:color="auto" w:sz="4" w:space="0"/>
              <w:bottom w:val="single" w:color="auto" w:sz="4" w:space="0"/>
              <w:right w:val="single" w:color="auto" w:sz="4" w:space="0"/>
            </w:tcBorders>
            <w:vAlign w:val="center"/>
          </w:tcPr>
          <w:p w14:paraId="2D862EF5">
            <w:pPr>
              <w:widowControl/>
              <w:contextualSpacing/>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Remark</w:t>
            </w:r>
          </w:p>
        </w:tc>
        <w:tc>
          <w:tcPr>
            <w:tcW w:w="1046" w:type="dxa"/>
            <w:vMerge w:val="restart"/>
            <w:tcBorders>
              <w:top w:val="single" w:color="auto" w:sz="4" w:space="0"/>
              <w:left w:val="single" w:color="auto" w:sz="4" w:space="0"/>
              <w:bottom w:val="single" w:color="auto" w:sz="4" w:space="0"/>
              <w:right w:val="single" w:color="auto" w:sz="4" w:space="0"/>
            </w:tcBorders>
            <w:vAlign w:val="center"/>
          </w:tcPr>
          <w:p w14:paraId="0FC44379">
            <w:pPr>
              <w:widowControl/>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Unit</w:t>
            </w:r>
          </w:p>
        </w:tc>
        <w:tc>
          <w:tcPr>
            <w:tcW w:w="1392" w:type="dxa"/>
            <w:vMerge w:val="restart"/>
            <w:tcBorders>
              <w:top w:val="single" w:color="auto" w:sz="4" w:space="0"/>
              <w:left w:val="single" w:color="auto" w:sz="4" w:space="0"/>
              <w:bottom w:val="single" w:color="auto" w:sz="4" w:space="0"/>
              <w:right w:val="single" w:color="auto" w:sz="4" w:space="0"/>
            </w:tcBorders>
            <w:vAlign w:val="center"/>
          </w:tcPr>
          <w:p w14:paraId="775D43F5">
            <w:pPr>
              <w:widowControl/>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Estimated Qty.</w:t>
            </w:r>
          </w:p>
        </w:tc>
      </w:tr>
      <w:tr w14:paraId="6FEEC95B">
        <w:tblPrEx>
          <w:tblCellMar>
            <w:top w:w="0" w:type="dxa"/>
            <w:left w:w="108" w:type="dxa"/>
            <w:bottom w:w="0" w:type="dxa"/>
            <w:right w:w="108" w:type="dxa"/>
          </w:tblCellMar>
        </w:tblPrEx>
        <w:trPr>
          <w:cantSplit/>
          <w:trHeight w:val="319" w:hRule="atLeast"/>
          <w:tblHeader/>
        </w:trPr>
        <w:tc>
          <w:tcPr>
            <w:tcW w:w="679" w:type="dxa"/>
            <w:vMerge w:val="continue"/>
            <w:tcBorders>
              <w:top w:val="single" w:color="auto" w:sz="4" w:space="0"/>
              <w:left w:val="single" w:color="auto" w:sz="4" w:space="0"/>
              <w:bottom w:val="single" w:color="auto" w:sz="4" w:space="0"/>
              <w:right w:val="single" w:color="auto" w:sz="4" w:space="0"/>
            </w:tcBorders>
            <w:vAlign w:val="center"/>
          </w:tcPr>
          <w:p w14:paraId="6BF944B1">
            <w:pPr>
              <w:widowControl/>
              <w:rPr>
                <w:rFonts w:ascii="Times New Roman" w:hAnsi="Times New Roman" w:eastAsia="宋体" w:cs="Times New Roman"/>
                <w:b/>
                <w:bCs/>
                <w:sz w:val="22"/>
                <w:szCs w:val="22"/>
              </w:rPr>
            </w:pPr>
          </w:p>
        </w:tc>
        <w:tc>
          <w:tcPr>
            <w:tcW w:w="2235" w:type="dxa"/>
            <w:vMerge w:val="continue"/>
            <w:tcBorders>
              <w:top w:val="single" w:color="auto" w:sz="4" w:space="0"/>
              <w:left w:val="single" w:color="auto" w:sz="4" w:space="0"/>
              <w:bottom w:val="single" w:color="auto" w:sz="4" w:space="0"/>
              <w:right w:val="single" w:color="auto" w:sz="4" w:space="0"/>
            </w:tcBorders>
            <w:vAlign w:val="center"/>
          </w:tcPr>
          <w:p w14:paraId="54CD3170">
            <w:pPr>
              <w:widowControl/>
              <w:rPr>
                <w:rFonts w:ascii="Times New Roman" w:hAnsi="Times New Roman" w:eastAsia="宋体" w:cs="Times New Roman"/>
                <w:b/>
                <w:bCs/>
                <w:sz w:val="22"/>
                <w:szCs w:val="22"/>
              </w:rPr>
            </w:pPr>
          </w:p>
        </w:tc>
        <w:tc>
          <w:tcPr>
            <w:tcW w:w="2616" w:type="dxa"/>
            <w:vMerge w:val="continue"/>
            <w:tcBorders>
              <w:top w:val="single" w:color="auto" w:sz="4" w:space="0"/>
              <w:left w:val="single" w:color="auto" w:sz="4" w:space="0"/>
              <w:bottom w:val="single" w:color="auto" w:sz="4" w:space="0"/>
              <w:right w:val="single" w:color="auto" w:sz="4" w:space="0"/>
            </w:tcBorders>
            <w:vAlign w:val="center"/>
          </w:tcPr>
          <w:p w14:paraId="5EEE6855">
            <w:pPr>
              <w:widowControl/>
              <w:rPr>
                <w:rFonts w:ascii="Times New Roman" w:hAnsi="Times New Roman" w:eastAsia="宋体" w:cs="Times New Roman"/>
                <w:b/>
                <w:bCs/>
                <w:sz w:val="22"/>
                <w:szCs w:val="22"/>
              </w:rPr>
            </w:pPr>
          </w:p>
        </w:tc>
        <w:tc>
          <w:tcPr>
            <w:tcW w:w="5911" w:type="dxa"/>
            <w:vMerge w:val="continue"/>
            <w:tcBorders>
              <w:top w:val="single" w:color="auto" w:sz="4" w:space="0"/>
              <w:left w:val="single" w:color="auto" w:sz="4" w:space="0"/>
              <w:bottom w:val="single" w:color="auto" w:sz="4" w:space="0"/>
              <w:right w:val="single" w:color="auto" w:sz="4" w:space="0"/>
            </w:tcBorders>
            <w:vAlign w:val="center"/>
          </w:tcPr>
          <w:p w14:paraId="7B256C20">
            <w:pPr>
              <w:widowControl/>
              <w:rPr>
                <w:rFonts w:ascii="Times New Roman" w:hAnsi="Times New Roman" w:eastAsia="宋体" w:cs="Times New Roman"/>
                <w:b/>
                <w:bCs/>
                <w:sz w:val="22"/>
                <w:szCs w:val="22"/>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65B2135D">
            <w:pPr>
              <w:widowControl/>
              <w:rPr>
                <w:rFonts w:ascii="Times New Roman" w:hAnsi="Times New Roman" w:eastAsia="宋体" w:cs="Times New Roman"/>
                <w:b/>
                <w:bCs/>
                <w:sz w:val="22"/>
                <w:szCs w:val="22"/>
              </w:rPr>
            </w:pPr>
          </w:p>
        </w:tc>
        <w:tc>
          <w:tcPr>
            <w:tcW w:w="1392" w:type="dxa"/>
            <w:vMerge w:val="continue"/>
            <w:tcBorders>
              <w:top w:val="single" w:color="auto" w:sz="4" w:space="0"/>
              <w:left w:val="single" w:color="auto" w:sz="4" w:space="0"/>
              <w:bottom w:val="single" w:color="auto" w:sz="4" w:space="0"/>
              <w:right w:val="single" w:color="auto" w:sz="4" w:space="0"/>
            </w:tcBorders>
            <w:vAlign w:val="center"/>
          </w:tcPr>
          <w:p w14:paraId="7B9DCDD8">
            <w:pPr>
              <w:widowControl/>
              <w:rPr>
                <w:rFonts w:ascii="Times New Roman" w:hAnsi="Times New Roman" w:eastAsia="宋体" w:cs="Times New Roman"/>
                <w:b/>
                <w:bCs/>
                <w:sz w:val="22"/>
                <w:szCs w:val="22"/>
              </w:rPr>
            </w:pPr>
          </w:p>
        </w:tc>
      </w:tr>
      <w:tr w14:paraId="5510B200">
        <w:tblPrEx>
          <w:tblCellMar>
            <w:top w:w="0" w:type="dxa"/>
            <w:left w:w="108" w:type="dxa"/>
            <w:bottom w:w="0" w:type="dxa"/>
            <w:right w:w="108" w:type="dxa"/>
          </w:tblCellMar>
        </w:tblPrEx>
        <w:trPr>
          <w:cantSplit/>
          <w:trHeight w:val="319" w:hRule="atLeast"/>
          <w:tblHeader/>
        </w:trPr>
        <w:tc>
          <w:tcPr>
            <w:tcW w:w="679" w:type="dxa"/>
            <w:vMerge w:val="continue"/>
            <w:tcBorders>
              <w:top w:val="single" w:color="auto" w:sz="4" w:space="0"/>
              <w:left w:val="single" w:color="auto" w:sz="4" w:space="0"/>
              <w:bottom w:val="single" w:color="auto" w:sz="4" w:space="0"/>
              <w:right w:val="single" w:color="auto" w:sz="4" w:space="0"/>
            </w:tcBorders>
            <w:vAlign w:val="center"/>
          </w:tcPr>
          <w:p w14:paraId="36AFABDC">
            <w:pPr>
              <w:widowControl/>
              <w:rPr>
                <w:rFonts w:ascii="Times New Roman" w:hAnsi="Times New Roman" w:eastAsia="宋体" w:cs="Times New Roman"/>
                <w:b/>
                <w:bCs/>
                <w:sz w:val="22"/>
                <w:szCs w:val="22"/>
              </w:rPr>
            </w:pPr>
          </w:p>
        </w:tc>
        <w:tc>
          <w:tcPr>
            <w:tcW w:w="2235" w:type="dxa"/>
            <w:vMerge w:val="continue"/>
            <w:tcBorders>
              <w:top w:val="single" w:color="auto" w:sz="4" w:space="0"/>
              <w:left w:val="single" w:color="auto" w:sz="4" w:space="0"/>
              <w:bottom w:val="single" w:color="auto" w:sz="4" w:space="0"/>
              <w:right w:val="single" w:color="auto" w:sz="4" w:space="0"/>
            </w:tcBorders>
            <w:vAlign w:val="center"/>
          </w:tcPr>
          <w:p w14:paraId="0C60DDE2">
            <w:pPr>
              <w:widowControl/>
              <w:rPr>
                <w:rFonts w:ascii="Times New Roman" w:hAnsi="Times New Roman" w:eastAsia="宋体" w:cs="Times New Roman"/>
                <w:b/>
                <w:bCs/>
                <w:sz w:val="22"/>
                <w:szCs w:val="22"/>
              </w:rPr>
            </w:pPr>
          </w:p>
        </w:tc>
        <w:tc>
          <w:tcPr>
            <w:tcW w:w="2616" w:type="dxa"/>
            <w:vMerge w:val="continue"/>
            <w:tcBorders>
              <w:top w:val="single" w:color="auto" w:sz="4" w:space="0"/>
              <w:left w:val="single" w:color="auto" w:sz="4" w:space="0"/>
              <w:bottom w:val="single" w:color="auto" w:sz="4" w:space="0"/>
              <w:right w:val="single" w:color="auto" w:sz="4" w:space="0"/>
            </w:tcBorders>
            <w:vAlign w:val="center"/>
          </w:tcPr>
          <w:p w14:paraId="7B2CDB19">
            <w:pPr>
              <w:widowControl/>
              <w:rPr>
                <w:rFonts w:ascii="Times New Roman" w:hAnsi="Times New Roman" w:eastAsia="宋体" w:cs="Times New Roman"/>
                <w:b/>
                <w:bCs/>
                <w:sz w:val="22"/>
                <w:szCs w:val="22"/>
              </w:rPr>
            </w:pPr>
          </w:p>
        </w:tc>
        <w:tc>
          <w:tcPr>
            <w:tcW w:w="5911" w:type="dxa"/>
            <w:vMerge w:val="continue"/>
            <w:tcBorders>
              <w:top w:val="single" w:color="auto" w:sz="4" w:space="0"/>
              <w:left w:val="single" w:color="auto" w:sz="4" w:space="0"/>
              <w:bottom w:val="single" w:color="auto" w:sz="4" w:space="0"/>
              <w:right w:val="single" w:color="auto" w:sz="4" w:space="0"/>
            </w:tcBorders>
            <w:vAlign w:val="center"/>
          </w:tcPr>
          <w:p w14:paraId="02DE5089">
            <w:pPr>
              <w:widowControl/>
              <w:rPr>
                <w:rFonts w:ascii="Times New Roman" w:hAnsi="Times New Roman" w:eastAsia="宋体" w:cs="Times New Roman"/>
                <w:b/>
                <w:bCs/>
                <w:sz w:val="22"/>
                <w:szCs w:val="22"/>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25C45463">
            <w:pPr>
              <w:widowControl/>
              <w:rPr>
                <w:rFonts w:ascii="Times New Roman" w:hAnsi="Times New Roman" w:eastAsia="宋体" w:cs="Times New Roman"/>
                <w:b/>
                <w:bCs/>
                <w:sz w:val="22"/>
                <w:szCs w:val="22"/>
              </w:rPr>
            </w:pPr>
          </w:p>
        </w:tc>
        <w:tc>
          <w:tcPr>
            <w:tcW w:w="1392" w:type="dxa"/>
            <w:vMerge w:val="continue"/>
            <w:tcBorders>
              <w:top w:val="single" w:color="auto" w:sz="4" w:space="0"/>
              <w:left w:val="single" w:color="auto" w:sz="4" w:space="0"/>
              <w:bottom w:val="single" w:color="auto" w:sz="4" w:space="0"/>
              <w:right w:val="single" w:color="auto" w:sz="4" w:space="0"/>
            </w:tcBorders>
            <w:vAlign w:val="center"/>
          </w:tcPr>
          <w:p w14:paraId="77E631C8">
            <w:pPr>
              <w:widowControl/>
              <w:rPr>
                <w:rFonts w:ascii="Times New Roman" w:hAnsi="Times New Roman" w:eastAsia="宋体" w:cs="Times New Roman"/>
                <w:b/>
                <w:bCs/>
                <w:sz w:val="22"/>
                <w:szCs w:val="22"/>
              </w:rPr>
            </w:pPr>
          </w:p>
        </w:tc>
      </w:tr>
      <w:tr w14:paraId="4AF3AE7F">
        <w:tblPrEx>
          <w:tblCellMar>
            <w:top w:w="0" w:type="dxa"/>
            <w:left w:w="108" w:type="dxa"/>
            <w:bottom w:w="0" w:type="dxa"/>
            <w:right w:w="108" w:type="dxa"/>
          </w:tblCellMar>
        </w:tblPrEx>
        <w:trPr>
          <w:cantSplit/>
          <w:trHeight w:val="23" w:hRule="atLeast"/>
        </w:trPr>
        <w:tc>
          <w:tcPr>
            <w:tcW w:w="679" w:type="dxa"/>
            <w:tcBorders>
              <w:top w:val="nil"/>
              <w:left w:val="single" w:color="auto" w:sz="4" w:space="0"/>
              <w:bottom w:val="single" w:color="auto" w:sz="4" w:space="0"/>
              <w:right w:val="single" w:color="auto" w:sz="4" w:space="0"/>
            </w:tcBorders>
            <w:vAlign w:val="center"/>
          </w:tcPr>
          <w:p w14:paraId="7C899D03">
            <w:pPr>
              <w:widowControl/>
              <w:jc w:val="center"/>
              <w:textAlignment w:val="center"/>
              <w:rPr>
                <w:rFonts w:ascii="Times New Roman" w:hAnsi="Times New Roman" w:eastAsia="宋体" w:cs="Times New Roman"/>
                <w:sz w:val="20"/>
                <w:szCs w:val="20"/>
              </w:rPr>
            </w:pPr>
            <w:r>
              <w:rPr>
                <w:rFonts w:ascii="Times New Roman" w:hAnsi="Times New Roman" w:eastAsia="Arial Unicode MS" w:cs="Times New Roman"/>
                <w:sz w:val="20"/>
                <w:szCs w:val="20"/>
                <w:lang w:bidi="ar"/>
              </w:rPr>
              <w:t>1</w:t>
            </w:r>
          </w:p>
        </w:tc>
        <w:tc>
          <w:tcPr>
            <w:tcW w:w="2235" w:type="dxa"/>
            <w:tcBorders>
              <w:top w:val="nil"/>
              <w:left w:val="nil"/>
              <w:bottom w:val="single" w:color="auto" w:sz="4" w:space="0"/>
              <w:right w:val="single" w:color="auto" w:sz="4" w:space="0"/>
            </w:tcBorders>
            <w:vAlign w:val="center"/>
          </w:tcPr>
          <w:p w14:paraId="46597553">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2616" w:type="dxa"/>
            <w:tcBorders>
              <w:top w:val="nil"/>
              <w:left w:val="single" w:color="auto" w:sz="4" w:space="0"/>
              <w:bottom w:val="single" w:color="auto" w:sz="4" w:space="0"/>
              <w:right w:val="single" w:color="auto" w:sz="4" w:space="0"/>
            </w:tcBorders>
            <w:vAlign w:val="center"/>
          </w:tcPr>
          <w:p w14:paraId="70F6C71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MZD-1200/500Q</w:t>
            </w:r>
          </w:p>
        </w:tc>
        <w:tc>
          <w:tcPr>
            <w:tcW w:w="5911" w:type="dxa"/>
            <w:tcBorders>
              <w:top w:val="nil"/>
              <w:left w:val="nil"/>
              <w:bottom w:val="single" w:color="auto" w:sz="4" w:space="0"/>
              <w:right w:val="single" w:color="auto" w:sz="4" w:space="0"/>
            </w:tcBorders>
            <w:vAlign w:val="center"/>
          </w:tcPr>
          <w:p w14:paraId="4640CAAC">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Membrane tube model: MNH-4160A</w:t>
            </w:r>
          </w:p>
          <w:p w14:paraId="3EABF224">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Quantity: 18 pieces Medium: Air</w:t>
            </w:r>
          </w:p>
          <w:p w14:paraId="657517C2">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Intake air temperature: 55°C, Intake pressure: 15 bar</w:t>
            </w:r>
          </w:p>
          <w:p w14:paraId="581D4EA8">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Single processing capacity of nitrogen extraction: 70 Nm³/h</w:t>
            </w:r>
          </w:p>
          <w:p w14:paraId="775F736C">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Length: 1580 mm, Diameter: 160 mm</w:t>
            </w:r>
          </w:p>
          <w:p w14:paraId="23DBE1C2">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Weight: 18 kg, Air inlet: Rc1" (PT)</w:t>
            </w:r>
          </w:p>
          <w:p w14:paraId="45709C21">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N₂ product outlet: Rc1" (PT), Sealing O‑Ring: NBR</w:t>
            </w:r>
          </w:p>
        </w:tc>
        <w:tc>
          <w:tcPr>
            <w:tcW w:w="1046" w:type="dxa"/>
            <w:tcBorders>
              <w:top w:val="nil"/>
              <w:left w:val="nil"/>
              <w:bottom w:val="single" w:color="auto" w:sz="4" w:space="0"/>
              <w:right w:val="single" w:color="auto" w:sz="4" w:space="0"/>
            </w:tcBorders>
            <w:vAlign w:val="center"/>
          </w:tcPr>
          <w:p w14:paraId="0C2270DD">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1392" w:type="dxa"/>
            <w:tcBorders>
              <w:top w:val="nil"/>
              <w:left w:val="nil"/>
              <w:bottom w:val="single" w:color="auto" w:sz="4" w:space="0"/>
              <w:right w:val="single" w:color="auto" w:sz="4" w:space="0"/>
            </w:tcBorders>
            <w:noWrap/>
            <w:vAlign w:val="center"/>
          </w:tcPr>
          <w:p w14:paraId="20507DB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2</w:t>
            </w:r>
          </w:p>
        </w:tc>
      </w:tr>
      <w:tr w14:paraId="3343E7EB">
        <w:tblPrEx>
          <w:tblCellMar>
            <w:top w:w="0" w:type="dxa"/>
            <w:left w:w="108" w:type="dxa"/>
            <w:bottom w:w="0" w:type="dxa"/>
            <w:right w:w="108" w:type="dxa"/>
          </w:tblCellMar>
        </w:tblPrEx>
        <w:trPr>
          <w:cantSplit/>
          <w:trHeight w:val="23" w:hRule="atLeast"/>
        </w:trPr>
        <w:tc>
          <w:tcPr>
            <w:tcW w:w="679" w:type="dxa"/>
            <w:tcBorders>
              <w:top w:val="single" w:color="auto" w:sz="4" w:space="0"/>
              <w:left w:val="single" w:color="auto" w:sz="4" w:space="0"/>
              <w:bottom w:val="single" w:color="auto" w:sz="4" w:space="0"/>
              <w:right w:val="single" w:color="auto" w:sz="4" w:space="0"/>
            </w:tcBorders>
            <w:vAlign w:val="center"/>
          </w:tcPr>
          <w:p w14:paraId="017A0FE3">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2</w:t>
            </w:r>
          </w:p>
        </w:tc>
        <w:tc>
          <w:tcPr>
            <w:tcW w:w="2235" w:type="dxa"/>
            <w:tcBorders>
              <w:top w:val="single" w:color="auto" w:sz="4" w:space="0"/>
              <w:left w:val="nil"/>
              <w:bottom w:val="single" w:color="auto" w:sz="4" w:space="0"/>
              <w:right w:val="single" w:color="auto" w:sz="4" w:space="0"/>
            </w:tcBorders>
            <w:vAlign w:val="center"/>
          </w:tcPr>
          <w:p w14:paraId="42C0317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2616" w:type="dxa"/>
            <w:tcBorders>
              <w:top w:val="single" w:color="auto" w:sz="4" w:space="0"/>
              <w:left w:val="single" w:color="auto" w:sz="4" w:space="0"/>
              <w:bottom w:val="single" w:color="auto" w:sz="4" w:space="0"/>
              <w:right w:val="single" w:color="auto" w:sz="4" w:space="0"/>
            </w:tcBorders>
            <w:vAlign w:val="center"/>
          </w:tcPr>
          <w:p w14:paraId="623645F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MZD-1200/500Q</w:t>
            </w:r>
          </w:p>
        </w:tc>
        <w:tc>
          <w:tcPr>
            <w:tcW w:w="5911" w:type="dxa"/>
            <w:tcBorders>
              <w:top w:val="single" w:color="auto" w:sz="4" w:space="0"/>
              <w:left w:val="nil"/>
              <w:bottom w:val="single" w:color="auto" w:sz="4" w:space="0"/>
              <w:right w:val="single" w:color="auto" w:sz="4" w:space="0"/>
            </w:tcBorders>
            <w:vAlign w:val="center"/>
          </w:tcPr>
          <w:p w14:paraId="5727390C">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inlet and outlet manifolds are made of stainless steel 304.</w:t>
            </w:r>
          </w:p>
          <w:p w14:paraId="16C4682A">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group frame is made of 63 (80) grade channel steel. After the frame is welded, it needs to be sandblasted and painted.</w:t>
            </w:r>
          </w:p>
          <w:p w14:paraId="07DCCED4">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tube joint and the manifold joint are made of stainless steel 304.</w:t>
            </w:r>
          </w:p>
          <w:p w14:paraId="3CF75E01">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diameter of the membrane tube clamp is 160, ranging from M10 to M12.</w:t>
            </w:r>
          </w:p>
          <w:p w14:paraId="78DE0EAC">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crimping joint is galvanized or stainless steel, with a pressure greater than 4 MPa.</w:t>
            </w:r>
          </w:p>
          <w:p w14:paraId="79E5D32B">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rubber hose is made of double-layer steel wire and can withstand a pressure greater than 4 MPa.</w:t>
            </w:r>
          </w:p>
          <w:p w14:paraId="00E30E0A">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Oxygen-enriched venting shall use stainless steel pipes with a diameter of 98.</w:t>
            </w:r>
          </w:p>
        </w:tc>
        <w:tc>
          <w:tcPr>
            <w:tcW w:w="1046" w:type="dxa"/>
            <w:tcBorders>
              <w:top w:val="single" w:color="auto" w:sz="4" w:space="0"/>
              <w:left w:val="nil"/>
              <w:bottom w:val="single" w:color="auto" w:sz="4" w:space="0"/>
              <w:right w:val="single" w:color="auto" w:sz="4" w:space="0"/>
            </w:tcBorders>
            <w:vAlign w:val="center"/>
          </w:tcPr>
          <w:p w14:paraId="219E3B0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1392" w:type="dxa"/>
            <w:tcBorders>
              <w:top w:val="single" w:color="auto" w:sz="4" w:space="0"/>
              <w:left w:val="nil"/>
              <w:bottom w:val="single" w:color="auto" w:sz="4" w:space="0"/>
              <w:right w:val="single" w:color="auto" w:sz="4" w:space="0"/>
            </w:tcBorders>
            <w:noWrap/>
            <w:vAlign w:val="center"/>
          </w:tcPr>
          <w:p w14:paraId="4E4B212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2</w:t>
            </w:r>
          </w:p>
        </w:tc>
      </w:tr>
      <w:tr w14:paraId="0D9FD058">
        <w:tblPrEx>
          <w:tblCellMar>
            <w:top w:w="0" w:type="dxa"/>
            <w:left w:w="108" w:type="dxa"/>
            <w:bottom w:w="0" w:type="dxa"/>
            <w:right w:w="108" w:type="dxa"/>
          </w:tblCellMar>
        </w:tblPrEx>
        <w:trPr>
          <w:cantSplit/>
          <w:trHeight w:val="23" w:hRule="atLeast"/>
        </w:trPr>
        <w:tc>
          <w:tcPr>
            <w:tcW w:w="679" w:type="dxa"/>
            <w:tcBorders>
              <w:top w:val="single" w:color="auto" w:sz="4" w:space="0"/>
              <w:left w:val="single" w:color="auto" w:sz="4" w:space="0"/>
              <w:bottom w:val="single" w:color="auto" w:sz="4" w:space="0"/>
              <w:right w:val="single" w:color="auto" w:sz="4" w:space="0"/>
            </w:tcBorders>
            <w:vAlign w:val="center"/>
          </w:tcPr>
          <w:p w14:paraId="4F24DF36">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3</w:t>
            </w:r>
          </w:p>
        </w:tc>
        <w:tc>
          <w:tcPr>
            <w:tcW w:w="2235" w:type="dxa"/>
            <w:tcBorders>
              <w:top w:val="single" w:color="auto" w:sz="4" w:space="0"/>
              <w:left w:val="nil"/>
              <w:bottom w:val="single" w:color="auto" w:sz="4" w:space="0"/>
              <w:right w:val="single" w:color="auto" w:sz="4" w:space="0"/>
            </w:tcBorders>
            <w:vAlign w:val="center"/>
          </w:tcPr>
          <w:p w14:paraId="5494075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2616" w:type="dxa"/>
            <w:tcBorders>
              <w:top w:val="single" w:color="auto" w:sz="4" w:space="0"/>
              <w:left w:val="single" w:color="auto" w:sz="4" w:space="0"/>
              <w:bottom w:val="single" w:color="auto" w:sz="4" w:space="0"/>
              <w:right w:val="single" w:color="auto" w:sz="4" w:space="0"/>
            </w:tcBorders>
            <w:vAlign w:val="center"/>
          </w:tcPr>
          <w:p w14:paraId="4DEA5D9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MZD-1200/350C</w:t>
            </w:r>
          </w:p>
        </w:tc>
        <w:tc>
          <w:tcPr>
            <w:tcW w:w="5911" w:type="dxa"/>
            <w:tcBorders>
              <w:top w:val="single" w:color="auto" w:sz="4" w:space="0"/>
              <w:left w:val="nil"/>
              <w:bottom w:val="single" w:color="auto" w:sz="4" w:space="0"/>
              <w:right w:val="single" w:color="auto" w:sz="4" w:space="0"/>
            </w:tcBorders>
            <w:vAlign w:val="center"/>
          </w:tcPr>
          <w:p w14:paraId="33151A2F">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Membrane tube model: MNH-4160A</w:t>
            </w:r>
          </w:p>
          <w:p w14:paraId="4B9A5CFB">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Quantity: 18 pieces, Medium: Air</w:t>
            </w:r>
          </w:p>
          <w:p w14:paraId="7BEDF633">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Intake air temperature: 55°C, Intake pressure: 15 bar</w:t>
            </w:r>
          </w:p>
          <w:p w14:paraId="730B0DBE">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Single processing capacity of nitrogen extraction: 70 Nm³/h</w:t>
            </w:r>
          </w:p>
          <w:p w14:paraId="0A1B1EBF">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Length: 1580 mm, Diameter: 160 mm</w:t>
            </w:r>
          </w:p>
          <w:p w14:paraId="4D774E71">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Weight: 18 kg, Air inlet: Rc1" (PT)</w:t>
            </w:r>
          </w:p>
          <w:p w14:paraId="750922B5">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N₂ product outlet: Rc1" (PT), Sealing O-Ring: NBR</w:t>
            </w:r>
          </w:p>
        </w:tc>
        <w:tc>
          <w:tcPr>
            <w:tcW w:w="1046" w:type="dxa"/>
            <w:tcBorders>
              <w:top w:val="single" w:color="auto" w:sz="4" w:space="0"/>
              <w:left w:val="nil"/>
              <w:bottom w:val="single" w:color="auto" w:sz="4" w:space="0"/>
              <w:right w:val="single" w:color="auto" w:sz="4" w:space="0"/>
            </w:tcBorders>
            <w:vAlign w:val="center"/>
          </w:tcPr>
          <w:p w14:paraId="7A857BE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1392" w:type="dxa"/>
            <w:tcBorders>
              <w:top w:val="single" w:color="auto" w:sz="4" w:space="0"/>
              <w:left w:val="nil"/>
              <w:bottom w:val="single" w:color="auto" w:sz="4" w:space="0"/>
              <w:right w:val="single" w:color="auto" w:sz="4" w:space="0"/>
            </w:tcBorders>
            <w:noWrap/>
            <w:vAlign w:val="center"/>
          </w:tcPr>
          <w:p w14:paraId="6DEF3A63">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r w14:paraId="453CC24B">
        <w:tblPrEx>
          <w:tblCellMar>
            <w:top w:w="0" w:type="dxa"/>
            <w:left w:w="108" w:type="dxa"/>
            <w:bottom w:w="0" w:type="dxa"/>
            <w:right w:w="108" w:type="dxa"/>
          </w:tblCellMar>
        </w:tblPrEx>
        <w:trPr>
          <w:cantSplit/>
          <w:trHeight w:val="23" w:hRule="atLeast"/>
        </w:trPr>
        <w:tc>
          <w:tcPr>
            <w:tcW w:w="679" w:type="dxa"/>
            <w:tcBorders>
              <w:top w:val="single" w:color="auto" w:sz="4" w:space="0"/>
              <w:left w:val="single" w:color="auto" w:sz="4" w:space="0"/>
              <w:bottom w:val="single" w:color="auto" w:sz="4" w:space="0"/>
              <w:right w:val="single" w:color="auto" w:sz="4" w:space="0"/>
            </w:tcBorders>
            <w:vAlign w:val="center"/>
          </w:tcPr>
          <w:p w14:paraId="4708747E">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4</w:t>
            </w:r>
          </w:p>
        </w:tc>
        <w:tc>
          <w:tcPr>
            <w:tcW w:w="2235" w:type="dxa"/>
            <w:tcBorders>
              <w:top w:val="single" w:color="auto" w:sz="4" w:space="0"/>
              <w:left w:val="nil"/>
              <w:bottom w:val="single" w:color="auto" w:sz="4" w:space="0"/>
              <w:right w:val="single" w:color="auto" w:sz="4" w:space="0"/>
            </w:tcBorders>
            <w:vAlign w:val="center"/>
          </w:tcPr>
          <w:p w14:paraId="2A69EC4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2616" w:type="dxa"/>
            <w:tcBorders>
              <w:top w:val="single" w:color="auto" w:sz="4" w:space="0"/>
              <w:left w:val="single" w:color="auto" w:sz="4" w:space="0"/>
              <w:bottom w:val="single" w:color="auto" w:sz="4" w:space="0"/>
              <w:right w:val="single" w:color="auto" w:sz="4" w:space="0"/>
            </w:tcBorders>
            <w:vAlign w:val="center"/>
          </w:tcPr>
          <w:p w14:paraId="3C9A25DA">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MZD-1200/350C</w:t>
            </w:r>
          </w:p>
        </w:tc>
        <w:tc>
          <w:tcPr>
            <w:tcW w:w="5911" w:type="dxa"/>
            <w:tcBorders>
              <w:top w:val="single" w:color="auto" w:sz="4" w:space="0"/>
              <w:left w:val="nil"/>
              <w:bottom w:val="single" w:color="auto" w:sz="4" w:space="0"/>
              <w:right w:val="single" w:color="auto" w:sz="4" w:space="0"/>
            </w:tcBorders>
            <w:vAlign w:val="center"/>
          </w:tcPr>
          <w:p w14:paraId="00AAEFAB">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inlet and outlet manifolds are made of stainless steel 304.</w:t>
            </w:r>
          </w:p>
          <w:p w14:paraId="38B933EF">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group frame is made of 63 (80) grade channel steel. After the frame is welded, it needs to be sandblasted and painted.</w:t>
            </w:r>
          </w:p>
          <w:p w14:paraId="340A363C">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tube joint and the manifold joint are made of stainless steel 304.</w:t>
            </w:r>
          </w:p>
          <w:p w14:paraId="06CF7C02">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diameter of the membrane tube clamp is 160, ranging from M10 to M12.</w:t>
            </w:r>
          </w:p>
          <w:p w14:paraId="60D514E4">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crimping joint is galvanized or stainless steel, with a pressure greater than 4 MPa.</w:t>
            </w:r>
          </w:p>
          <w:p w14:paraId="698F698F">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rubber hose is made of double-layer steel wire and can withstand a pressure greater than 4 MPa.</w:t>
            </w:r>
          </w:p>
          <w:p w14:paraId="3DD18105">
            <w:pPr>
              <w:widowControl/>
              <w:jc w:val="left"/>
              <w:textAlignment w:val="center"/>
              <w:rPr>
                <w:rFonts w:ascii="Times New Roman" w:hAnsi="Times New Roman" w:eastAsia="宋体" w:cs="Times New Roman"/>
                <w:sz w:val="20"/>
                <w:szCs w:val="20"/>
              </w:rPr>
            </w:pPr>
            <w:r>
              <w:rPr>
                <w:rFonts w:ascii="Times New Roman" w:hAnsi="Times New Roman" w:eastAsia="宋体" w:cs="Times New Roman"/>
                <w:sz w:val="20"/>
                <w:szCs w:val="20"/>
              </w:rPr>
              <w:t>Oxygen-enriched venting shall use stainless steel pipes with a diameter of 98.</w:t>
            </w:r>
          </w:p>
        </w:tc>
        <w:tc>
          <w:tcPr>
            <w:tcW w:w="1046" w:type="dxa"/>
            <w:tcBorders>
              <w:top w:val="single" w:color="auto" w:sz="4" w:space="0"/>
              <w:left w:val="nil"/>
              <w:bottom w:val="single" w:color="auto" w:sz="4" w:space="0"/>
              <w:right w:val="single" w:color="auto" w:sz="4" w:space="0"/>
            </w:tcBorders>
            <w:vAlign w:val="center"/>
          </w:tcPr>
          <w:p w14:paraId="294F7023">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1392" w:type="dxa"/>
            <w:tcBorders>
              <w:top w:val="single" w:color="auto" w:sz="4" w:space="0"/>
              <w:left w:val="nil"/>
              <w:bottom w:val="single" w:color="auto" w:sz="4" w:space="0"/>
              <w:right w:val="single" w:color="auto" w:sz="4" w:space="0"/>
            </w:tcBorders>
            <w:noWrap/>
            <w:vAlign w:val="center"/>
          </w:tcPr>
          <w:p w14:paraId="678DC7F4">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r w14:paraId="47D8BC67">
        <w:tblPrEx>
          <w:tblCellMar>
            <w:top w:w="0" w:type="dxa"/>
            <w:left w:w="108" w:type="dxa"/>
            <w:bottom w:w="0" w:type="dxa"/>
            <w:right w:w="108" w:type="dxa"/>
          </w:tblCellMar>
        </w:tblPrEx>
        <w:trPr>
          <w:cantSplit/>
          <w:trHeight w:val="23" w:hRule="atLeast"/>
        </w:trPr>
        <w:tc>
          <w:tcPr>
            <w:tcW w:w="679" w:type="dxa"/>
            <w:tcBorders>
              <w:top w:val="single" w:color="auto" w:sz="4" w:space="0"/>
              <w:left w:val="single" w:color="auto" w:sz="4" w:space="0"/>
              <w:bottom w:val="single" w:color="auto" w:sz="4" w:space="0"/>
              <w:right w:val="single" w:color="auto" w:sz="4" w:space="0"/>
            </w:tcBorders>
            <w:vAlign w:val="center"/>
          </w:tcPr>
          <w:p w14:paraId="46F68B3E">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5</w:t>
            </w:r>
          </w:p>
        </w:tc>
        <w:tc>
          <w:tcPr>
            <w:tcW w:w="2235" w:type="dxa"/>
            <w:tcBorders>
              <w:top w:val="single" w:color="auto" w:sz="4" w:space="0"/>
              <w:left w:val="nil"/>
              <w:bottom w:val="single" w:color="auto" w:sz="4" w:space="0"/>
              <w:right w:val="single" w:color="auto" w:sz="4" w:space="0"/>
            </w:tcBorders>
            <w:vAlign w:val="center"/>
          </w:tcPr>
          <w:p w14:paraId="7B4894C0">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2616" w:type="dxa"/>
            <w:tcBorders>
              <w:top w:val="single" w:color="auto" w:sz="4" w:space="0"/>
              <w:left w:val="single" w:color="auto" w:sz="4" w:space="0"/>
              <w:bottom w:val="single" w:color="auto" w:sz="4" w:space="0"/>
              <w:right w:val="single" w:color="auto" w:sz="4" w:space="0"/>
            </w:tcBorders>
            <w:vAlign w:val="center"/>
          </w:tcPr>
          <w:p w14:paraId="2A7F71AD">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MZD-1000/500Q</w:t>
            </w:r>
          </w:p>
        </w:tc>
        <w:tc>
          <w:tcPr>
            <w:tcW w:w="5911" w:type="dxa"/>
            <w:tcBorders>
              <w:top w:val="single" w:color="auto" w:sz="4" w:space="0"/>
              <w:left w:val="nil"/>
              <w:bottom w:val="single" w:color="auto" w:sz="4" w:space="0"/>
              <w:right w:val="single" w:color="auto" w:sz="4" w:space="0"/>
            </w:tcBorders>
            <w:vAlign w:val="center"/>
          </w:tcPr>
          <w:p w14:paraId="7638D149">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Membrane tube model: MNH-4160A</w:t>
            </w:r>
          </w:p>
          <w:p w14:paraId="7CC1DCBF">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Quantity: 16 pieces, Medium: Air</w:t>
            </w:r>
          </w:p>
          <w:p w14:paraId="343E75B6">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Intake air temperature: 55°C, Intake pressure: 15 bar</w:t>
            </w:r>
          </w:p>
          <w:p w14:paraId="5B36975D">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Single processing capacity of nitrogen extraction: 70 Nm³/h</w:t>
            </w:r>
          </w:p>
          <w:p w14:paraId="5859B93A">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Length: 1580 mm, Diameter: 160 mm</w:t>
            </w:r>
          </w:p>
          <w:p w14:paraId="0523DC3C">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Weight: 18 kg, Air inlet: Rc1" (PT)</w:t>
            </w:r>
          </w:p>
          <w:p w14:paraId="4BC4AE6E">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N₂ product outlet: Rc1" (PT), Sealing O-Ring: NBR</w:t>
            </w:r>
          </w:p>
        </w:tc>
        <w:tc>
          <w:tcPr>
            <w:tcW w:w="1046" w:type="dxa"/>
            <w:tcBorders>
              <w:top w:val="single" w:color="auto" w:sz="4" w:space="0"/>
              <w:left w:val="nil"/>
              <w:bottom w:val="single" w:color="auto" w:sz="4" w:space="0"/>
              <w:right w:val="single" w:color="auto" w:sz="4" w:space="0"/>
            </w:tcBorders>
            <w:vAlign w:val="center"/>
          </w:tcPr>
          <w:p w14:paraId="53649A7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1392" w:type="dxa"/>
            <w:tcBorders>
              <w:top w:val="single" w:color="auto" w:sz="4" w:space="0"/>
              <w:left w:val="nil"/>
              <w:bottom w:val="single" w:color="auto" w:sz="4" w:space="0"/>
              <w:right w:val="single" w:color="auto" w:sz="4" w:space="0"/>
            </w:tcBorders>
            <w:noWrap/>
            <w:vAlign w:val="center"/>
          </w:tcPr>
          <w:p w14:paraId="55876FC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r w14:paraId="510AA15B">
        <w:tblPrEx>
          <w:tblCellMar>
            <w:top w:w="0" w:type="dxa"/>
            <w:left w:w="108" w:type="dxa"/>
            <w:bottom w:w="0" w:type="dxa"/>
            <w:right w:w="108" w:type="dxa"/>
          </w:tblCellMar>
        </w:tblPrEx>
        <w:trPr>
          <w:cantSplit/>
          <w:trHeight w:val="23" w:hRule="atLeast"/>
        </w:trPr>
        <w:tc>
          <w:tcPr>
            <w:tcW w:w="679" w:type="dxa"/>
            <w:tcBorders>
              <w:top w:val="single" w:color="auto" w:sz="4" w:space="0"/>
              <w:left w:val="single" w:color="auto" w:sz="4" w:space="0"/>
              <w:bottom w:val="single" w:color="auto" w:sz="4" w:space="0"/>
              <w:right w:val="single" w:color="auto" w:sz="4" w:space="0"/>
            </w:tcBorders>
            <w:vAlign w:val="center"/>
          </w:tcPr>
          <w:p w14:paraId="60C08658">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6</w:t>
            </w:r>
          </w:p>
        </w:tc>
        <w:tc>
          <w:tcPr>
            <w:tcW w:w="2235" w:type="dxa"/>
            <w:tcBorders>
              <w:top w:val="single" w:color="auto" w:sz="4" w:space="0"/>
              <w:left w:val="nil"/>
              <w:bottom w:val="single" w:color="auto" w:sz="4" w:space="0"/>
              <w:right w:val="single" w:color="auto" w:sz="4" w:space="0"/>
            </w:tcBorders>
            <w:vAlign w:val="center"/>
          </w:tcPr>
          <w:p w14:paraId="54EED062">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2616" w:type="dxa"/>
            <w:tcBorders>
              <w:top w:val="single" w:color="auto" w:sz="4" w:space="0"/>
              <w:left w:val="single" w:color="auto" w:sz="4" w:space="0"/>
              <w:bottom w:val="single" w:color="auto" w:sz="4" w:space="0"/>
              <w:right w:val="single" w:color="auto" w:sz="4" w:space="0"/>
            </w:tcBorders>
            <w:vAlign w:val="center"/>
          </w:tcPr>
          <w:p w14:paraId="68BD2773">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MZD-1000/500Q</w:t>
            </w:r>
          </w:p>
        </w:tc>
        <w:tc>
          <w:tcPr>
            <w:tcW w:w="5911" w:type="dxa"/>
            <w:tcBorders>
              <w:top w:val="single" w:color="auto" w:sz="4" w:space="0"/>
              <w:left w:val="nil"/>
              <w:bottom w:val="single" w:color="auto" w:sz="4" w:space="0"/>
              <w:right w:val="single" w:color="auto" w:sz="4" w:space="0"/>
            </w:tcBorders>
            <w:vAlign w:val="center"/>
          </w:tcPr>
          <w:p w14:paraId="3B9F5D8A">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inlet and outlet manifolds are made of stainless steel 304.</w:t>
            </w:r>
          </w:p>
          <w:p w14:paraId="6BD44D26">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group frame is made of 63 (80) grade channel steel. After the frame is welded, it needs to be sandblasted and painted.</w:t>
            </w:r>
          </w:p>
          <w:p w14:paraId="4AA098B9">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tube joint and the manifold joint are made of stainless steel 304.</w:t>
            </w:r>
          </w:p>
          <w:p w14:paraId="0E0FDD08">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diameter of the membrane tube clamp is 160, ranging from M10 to M12.</w:t>
            </w:r>
          </w:p>
          <w:p w14:paraId="119F3DFF">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crimping joint is galvanized or stainless steel, with a pressure greater than 4 MPa.</w:t>
            </w:r>
          </w:p>
          <w:p w14:paraId="251A1B0F">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rubber hose is made of double-layer steel wire and can withstand a pressure greater than 4 MPa.</w:t>
            </w:r>
          </w:p>
          <w:p w14:paraId="758CC37F">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Oxygen-enriched venting shall use stainless steel pipes with a diameter of 98.</w:t>
            </w:r>
          </w:p>
        </w:tc>
        <w:tc>
          <w:tcPr>
            <w:tcW w:w="1046" w:type="dxa"/>
            <w:tcBorders>
              <w:top w:val="single" w:color="auto" w:sz="4" w:space="0"/>
              <w:left w:val="nil"/>
              <w:bottom w:val="single" w:color="auto" w:sz="4" w:space="0"/>
              <w:right w:val="single" w:color="auto" w:sz="4" w:space="0"/>
            </w:tcBorders>
            <w:vAlign w:val="center"/>
          </w:tcPr>
          <w:p w14:paraId="3434D00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1392" w:type="dxa"/>
            <w:tcBorders>
              <w:top w:val="single" w:color="auto" w:sz="4" w:space="0"/>
              <w:left w:val="nil"/>
              <w:bottom w:val="single" w:color="auto" w:sz="4" w:space="0"/>
              <w:right w:val="single" w:color="auto" w:sz="4" w:space="0"/>
            </w:tcBorders>
            <w:noWrap/>
            <w:vAlign w:val="center"/>
          </w:tcPr>
          <w:p w14:paraId="691E78B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bl>
    <w:p w14:paraId="07A9C12B">
      <w:pPr>
        <w:spacing w:line="360" w:lineRule="exact"/>
        <w:rPr>
          <w:rFonts w:ascii="Times New Roman" w:hAnsi="Times New Roman" w:eastAsia="方正仿宋简体" w:cs="Times New Roman"/>
          <w:b/>
          <w:bCs/>
          <w:sz w:val="22"/>
          <w:szCs w:val="22"/>
        </w:rPr>
        <w:sectPr>
          <w:pgSz w:w="16838" w:h="11906" w:orient="landscape"/>
          <w:pgMar w:top="1803" w:right="1440" w:bottom="1803" w:left="1440" w:header="851" w:footer="992" w:gutter="0"/>
          <w:cols w:space="0" w:num="1"/>
          <w:docGrid w:type="lines" w:linePitch="319" w:charSpace="0"/>
        </w:sectPr>
      </w:pPr>
    </w:p>
    <w:p w14:paraId="7EDB56A6">
      <w:pPr>
        <w:spacing w:line="360" w:lineRule="exact"/>
        <w:rPr>
          <w:rFonts w:ascii="Times New Roman" w:hAnsi="Times New Roman" w:eastAsia="方正仿宋简体" w:cs="Times New Roman"/>
          <w:b/>
          <w:bCs/>
          <w:sz w:val="22"/>
          <w:szCs w:val="22"/>
        </w:rPr>
      </w:pPr>
    </w:p>
    <w:p w14:paraId="3F982301">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b/>
          <w:bCs/>
          <w:sz w:val="22"/>
          <w:szCs w:val="22"/>
        </w:rPr>
        <w:t>1.</w:t>
      </w:r>
      <w:r>
        <w:rPr>
          <w:rFonts w:hint="eastAsia" w:ascii="Times New Roman" w:hAnsi="Times New Roman" w:eastAsia="方正仿宋简体" w:cs="Times New Roman"/>
          <w:b/>
          <w:bCs/>
          <w:sz w:val="22"/>
          <w:szCs w:val="22"/>
        </w:rPr>
        <w:t xml:space="preserve">2 Technical Specifications and Standards: </w:t>
      </w:r>
      <w:r>
        <w:rPr>
          <w:rFonts w:ascii="Times New Roman" w:hAnsi="Times New Roman" w:eastAsia="方正仿宋简体" w:cs="Times New Roman"/>
          <w:sz w:val="22"/>
          <w:szCs w:val="22"/>
        </w:rPr>
        <w:t>The Supplier shall strictly comply with API standards in manufacturing and supply. Detailed technical parameters and requirements are set forth in the attached Technical Specifications for the Required Materials.</w:t>
      </w:r>
    </w:p>
    <w:p w14:paraId="4A83AB37">
      <w:pPr>
        <w:spacing w:line="360" w:lineRule="exact"/>
        <w:rPr>
          <w:rFonts w:ascii="Times New Roman" w:hAnsi="Times New Roman" w:eastAsia="方正仿宋简体" w:cs="Times New Roman"/>
          <w:sz w:val="22"/>
          <w:szCs w:val="22"/>
        </w:rPr>
      </w:pPr>
      <w:r>
        <w:rPr>
          <w:rFonts w:hint="eastAsia" w:ascii="Times New Roman" w:hAnsi="Times New Roman" w:eastAsia="方正仿宋简体" w:cs="Times New Roman"/>
          <w:b/>
          <w:bCs/>
          <w:sz w:val="22"/>
          <w:szCs w:val="22"/>
        </w:rPr>
        <w:t xml:space="preserve">1.3 </w:t>
      </w:r>
      <w:r>
        <w:rPr>
          <w:rFonts w:ascii="Times New Roman" w:hAnsi="Times New Roman" w:eastAsia="方正仿宋简体" w:cs="Times New Roman"/>
          <w:b/>
          <w:bCs/>
          <w:sz w:val="22"/>
          <w:szCs w:val="22"/>
        </w:rPr>
        <w:t>Delivery and Transportation：</w:t>
      </w:r>
      <w:r>
        <w:rPr>
          <w:rFonts w:ascii="Times New Roman" w:hAnsi="Times New Roman" w:eastAsia="方正仿宋简体" w:cs="Times New Roman"/>
          <w:sz w:val="22"/>
          <w:szCs w:val="22"/>
        </w:rPr>
        <w:t>The Supplier shall complete delivery within thirty （30） days after the effective date of the contract, on DDP （Delivered Duty Paid） terms, and transport the goods to the CNPC Bohai Drilling Iraq Branch's operating site or base camp located in Missan Province, Iraq. The Supplier shall bear all costs and risks associated with transportation, insurance, import/export customs clearance, du</w:t>
      </w:r>
      <w:bookmarkStart w:id="0" w:name="_GoBack"/>
      <w:bookmarkEnd w:id="0"/>
      <w:r>
        <w:rPr>
          <w:rFonts w:ascii="Times New Roman" w:hAnsi="Times New Roman" w:eastAsia="方正仿宋简体" w:cs="Times New Roman"/>
          <w:sz w:val="22"/>
          <w:szCs w:val="22"/>
        </w:rPr>
        <w:t>ties, taxes, and all other related expenses prior to delivery.</w:t>
      </w:r>
    </w:p>
    <w:p w14:paraId="384C2C41">
      <w:pPr>
        <w:spacing w:line="360" w:lineRule="exact"/>
        <w:rPr>
          <w:rFonts w:ascii="Times New Roman" w:hAnsi="Times New Roman" w:eastAsia="方正仿宋简体" w:cs="Times New Roman"/>
          <w:sz w:val="22"/>
          <w:szCs w:val="22"/>
        </w:rPr>
      </w:pPr>
      <w:r>
        <w:rPr>
          <w:rFonts w:hint="eastAsia" w:ascii="Times New Roman" w:hAnsi="Times New Roman" w:eastAsia="方正仿宋简体" w:cs="Times New Roman"/>
          <w:b/>
          <w:bCs/>
          <w:sz w:val="22"/>
          <w:szCs w:val="22"/>
        </w:rPr>
        <w:t xml:space="preserve">1.4 </w:t>
      </w:r>
      <w:r>
        <w:rPr>
          <w:rFonts w:ascii="Times New Roman" w:hAnsi="Times New Roman" w:eastAsia="方正仿宋简体" w:cs="Times New Roman"/>
          <w:b/>
          <w:bCs/>
          <w:sz w:val="22"/>
          <w:szCs w:val="22"/>
        </w:rPr>
        <w:t>Document Submission and Compliance</w:t>
      </w:r>
      <w:r>
        <w:rPr>
          <w:rFonts w:hint="eastAsia" w:ascii="Times New Roman" w:hAnsi="Times New Roman" w:eastAsia="方正仿宋简体" w:cs="Times New Roman"/>
          <w:b/>
          <w:bCs/>
          <w:sz w:val="22"/>
          <w:szCs w:val="22"/>
        </w:rPr>
        <w:t xml:space="preserve">: </w:t>
      </w:r>
      <w:r>
        <w:rPr>
          <w:rFonts w:ascii="Times New Roman" w:hAnsi="Times New Roman" w:eastAsia="方正仿宋简体" w:cs="Times New Roman"/>
          <w:sz w:val="22"/>
          <w:szCs w:val="22"/>
        </w:rPr>
        <w:t>The Supplier shall submit the following documents （including but not limited to）:Certificate of Origin (COO); Commercial Invoice (CI); Third-Party Inspection (TPI) Certificate; Packing List (PL)Certificate of Conformity (e.g., API or ISO certificate)；Copy of Bill of Lading; Original Quality and Quantity Certificate issued by the manufacturer.</w:t>
      </w:r>
    </w:p>
    <w:p w14:paraId="5D4A9A32">
      <w:pPr>
        <w:spacing w:line="360" w:lineRule="exact"/>
        <w:rPr>
          <w:rFonts w:ascii="Times New Roman" w:hAnsi="Times New Roman" w:eastAsia="方正仿宋简体" w:cs="Times New Roman"/>
          <w:sz w:val="22"/>
          <w:szCs w:val="22"/>
        </w:rPr>
      </w:pPr>
      <w:r>
        <w:rPr>
          <w:rFonts w:hint="eastAsia" w:ascii="Times New Roman" w:hAnsi="Times New Roman" w:eastAsia="方正仿宋简体" w:cs="Times New Roman"/>
          <w:b/>
          <w:bCs/>
          <w:sz w:val="22"/>
          <w:szCs w:val="22"/>
        </w:rPr>
        <w:t xml:space="preserve">1.5 </w:t>
      </w:r>
      <w:r>
        <w:rPr>
          <w:rFonts w:ascii="Times New Roman" w:hAnsi="Times New Roman" w:eastAsia="方正仿宋简体" w:cs="Times New Roman"/>
          <w:b/>
          <w:bCs/>
          <w:sz w:val="22"/>
          <w:szCs w:val="22"/>
        </w:rPr>
        <w:t>Delivery Location:</w:t>
      </w:r>
      <w:r>
        <w:rPr>
          <w:rFonts w:hint="eastAsia" w:ascii="Times New Roman" w:hAnsi="Times New Roman" w:eastAsia="方正仿宋简体" w:cs="Times New Roman"/>
          <w:b/>
          <w:bCs/>
          <w:sz w:val="22"/>
          <w:szCs w:val="22"/>
        </w:rPr>
        <w:t xml:space="preserve"> </w:t>
      </w:r>
      <w:r>
        <w:rPr>
          <w:rFonts w:ascii="Times New Roman" w:hAnsi="Times New Roman" w:eastAsia="方正仿宋简体" w:cs="Times New Roman"/>
          <w:sz w:val="22"/>
          <w:szCs w:val="22"/>
        </w:rPr>
        <w:t>CNPC Bohai Drilling Iraq Branch – Missan Camp.</w:t>
      </w:r>
    </w:p>
    <w:p w14:paraId="120A4F2D">
      <w:pPr>
        <w:spacing w:line="360" w:lineRule="exact"/>
        <w:rPr>
          <w:rFonts w:ascii="Times New Roman" w:hAnsi="Times New Roman" w:eastAsia="方正仿宋简体" w:cs="Times New Roman"/>
          <w:sz w:val="22"/>
          <w:szCs w:val="22"/>
        </w:rPr>
      </w:pPr>
      <w:r>
        <w:rPr>
          <w:rFonts w:hint="eastAsia" w:ascii="Times New Roman" w:hAnsi="Times New Roman" w:eastAsia="方正仿宋简体" w:cs="Times New Roman"/>
          <w:b/>
          <w:bCs/>
          <w:sz w:val="22"/>
          <w:szCs w:val="22"/>
        </w:rPr>
        <w:t xml:space="preserve">1.6 </w:t>
      </w:r>
      <w:r>
        <w:rPr>
          <w:rFonts w:ascii="Times New Roman" w:hAnsi="Times New Roman" w:eastAsia="方正仿宋简体" w:cs="Times New Roman"/>
          <w:b/>
          <w:bCs/>
          <w:sz w:val="22"/>
          <w:szCs w:val="22"/>
        </w:rPr>
        <w:t xml:space="preserve">Service Term: </w:t>
      </w:r>
      <w:r>
        <w:rPr>
          <w:rFonts w:ascii="Times New Roman" w:hAnsi="Times New Roman" w:eastAsia="方正仿宋简体" w:cs="Times New Roman"/>
          <w:sz w:val="22"/>
          <w:szCs w:val="22"/>
        </w:rPr>
        <w:t>This contract shall be valid for one (1) year from the effective date of signing.</w:t>
      </w:r>
    </w:p>
    <w:p w14:paraId="308C311D">
      <w:pPr>
        <w:spacing w:line="360" w:lineRule="exact"/>
        <w:rPr>
          <w:rFonts w:ascii="Times New Roman" w:hAnsi="Times New Roman" w:eastAsia="方正仿宋简体" w:cs="Times New Roman"/>
          <w:sz w:val="22"/>
          <w:szCs w:val="22"/>
        </w:rPr>
      </w:pPr>
      <w:r>
        <w:rPr>
          <w:rFonts w:hint="eastAsia" w:ascii="Times New Roman" w:hAnsi="Times New Roman" w:eastAsia="方正仿宋简体" w:cs="Times New Roman"/>
          <w:b/>
          <w:bCs/>
          <w:sz w:val="22"/>
          <w:szCs w:val="22"/>
        </w:rPr>
        <w:t xml:space="preserve">1.7 Maximum Bid Price: </w:t>
      </w:r>
      <w:r>
        <w:rPr>
          <w:rFonts w:hint="eastAsia" w:ascii="Times New Roman" w:hAnsi="Times New Roman" w:eastAsia="方正仿宋简体" w:cs="Times New Roman"/>
          <w:sz w:val="22"/>
          <w:szCs w:val="22"/>
        </w:rPr>
        <w:t>The total procurement amount shall not exceed USD 380,000.</w:t>
      </w:r>
    </w:p>
    <w:p w14:paraId="0D44EF1E">
      <w:pPr>
        <w:ind w:left="-420"/>
        <w:rPr>
          <w:rFonts w:ascii="Times New Roman" w:hAnsi="Times New Roman" w:eastAsia="方正黑体简体" w:cs="Times New Roman"/>
          <w:b/>
          <w:bCs/>
          <w:sz w:val="22"/>
          <w:szCs w:val="22"/>
        </w:rPr>
      </w:pPr>
    </w:p>
    <w:p w14:paraId="2896139D">
      <w:pPr>
        <w:pStyle w:val="11"/>
        <w:spacing w:line="360" w:lineRule="exact"/>
        <w:ind w:firstLine="0"/>
        <w:outlineLvl w:val="0"/>
        <w:rPr>
          <w:rFonts w:ascii="Times New Roman" w:hAnsi="Times New Roman" w:eastAsia="方正黑体简体" w:cs="Times New Roman"/>
          <w:b/>
          <w:bCs/>
          <w:sz w:val="22"/>
          <w:szCs w:val="22"/>
        </w:rPr>
      </w:pPr>
      <w:r>
        <w:rPr>
          <w:rFonts w:ascii="Times New Roman" w:hAnsi="Times New Roman" w:eastAsia="方正黑体简体" w:cs="Times New Roman"/>
          <w:b/>
          <w:bCs/>
          <w:sz w:val="22"/>
          <w:szCs w:val="22"/>
        </w:rPr>
        <w:t>2. Bidder Qualification Requirements</w:t>
      </w:r>
    </w:p>
    <w:p w14:paraId="207B2CFA">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This project does not accept joint‑venture bids. Bidders shall simultaneously meet the following qualification requirements:</w:t>
      </w:r>
    </w:p>
    <w:p w14:paraId="30793C7A">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2.1 The Bidder shall submit documents in accordance with the format prescribed in the Bidding Documents. Signatures and official seals shall be affixed where signatures and seals are required in the bidding document format.</w:t>
      </w:r>
    </w:p>
    <w:p w14:paraId="3611DD00">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2.2 If the legal representative participates in bidding, negotiations and signing contracts, only the Identity Certificate of the Legal Representative shall be provided. If an authorized representative participates in bidding,negotiations and signing contracts, both the Identity Certificate of the Legal Representative and the Power of Attorney shall be provided.</w:t>
      </w:r>
    </w:p>
    <w:p w14:paraId="66582A2E">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2.3 The quotation shall be complete in content, and the format shall comply with the requirements of the bidding documents in terms of format.</w:t>
      </w:r>
    </w:p>
    <w:p w14:paraId="5F57171A">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2.4 All qualification certificates shall be complete and valid. The Bidder shall be a legal entity registered in accordance with law (under exceptional circumstances, an individual may be accepted, such as in the case of property leasing). The Bidder shall have the capacity to independently sign contracts. The Bidder shall provide qualifications including (for example, business license (or registration documents), enterprise qualification category and grade, relevant personnel's practicing or professional qualifications, industrial product production license, compulsory product certification, special equipment manufacturing license, work safety permit, operating permit, and other mandatory requirements under national or industry regulations).</w:t>
      </w:r>
    </w:p>
    <w:p w14:paraId="2B1E2BF8">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2.5 The Bidder shall provide 2 similar projects complete</w:t>
      </w:r>
      <w:r>
        <w:rPr>
          <w:rFonts w:ascii="Times New Roman" w:hAnsi="Times New Roman" w:eastAsia="方正仿宋简体" w:cs="Times New Roman"/>
          <w:color w:val="auto"/>
          <w:sz w:val="22"/>
          <w:szCs w:val="22"/>
          <w:highlight w:val="none"/>
        </w:rPr>
        <w:t>d from 1,</w:t>
      </w:r>
      <w:r>
        <w:rPr>
          <w:rFonts w:hint="eastAsia" w:ascii="Times New Roman" w:hAnsi="Times New Roman" w:eastAsia="方正仿宋简体" w:cs="Times New Roman"/>
          <w:color w:val="auto"/>
          <w:sz w:val="22"/>
          <w:szCs w:val="22"/>
          <w:highlight w:val="none"/>
        </w:rPr>
        <w:t xml:space="preserve"> </w:t>
      </w:r>
      <w:r>
        <w:rPr>
          <w:rFonts w:ascii="Times New Roman" w:hAnsi="Times New Roman" w:eastAsia="方正仿宋简体" w:cs="Times New Roman"/>
          <w:color w:val="auto"/>
          <w:sz w:val="22"/>
          <w:szCs w:val="22"/>
          <w:highlight w:val="none"/>
        </w:rPr>
        <w:t>January,2021 to</w:t>
      </w:r>
      <w:r>
        <w:rPr>
          <w:rFonts w:ascii="Times New Roman" w:hAnsi="Times New Roman" w:eastAsia="方正仿宋简体" w:cs="Times New Roman"/>
          <w:sz w:val="22"/>
          <w:szCs w:val="22"/>
        </w:rPr>
        <w:t xml:space="preserve"> the bid closing date. Key pages of contracts and corresponding invoices shall be provided.</w:t>
      </w:r>
    </w:p>
    <w:p w14:paraId="3F8995AC">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2.6 The Bidder shall be equipped with equipment, personnel, and other technical requirements  (for example equipment nameplates, factory photographs, personnel academic certificate, professional titles, social insurance, and technical requirements such as applicable national standards, industry standards, local standards, or other standards and specifications.) that satisfy the requirements of this project.</w:t>
      </w:r>
    </w:p>
    <w:p w14:paraId="1C3FB364">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2.7 The Bidder shall provide the ‘Relevant Commitments’ document that complies with this project.</w:t>
      </w:r>
    </w:p>
    <w:p w14:paraId="52D1B6E1">
      <w:pPr>
        <w:rPr>
          <w:rFonts w:ascii="Times New Roman" w:hAnsi="Times New Roman" w:eastAsia="方正仿宋简体" w:cs="Times New Roman"/>
          <w:sz w:val="22"/>
          <w:szCs w:val="22"/>
        </w:rPr>
      </w:pPr>
    </w:p>
    <w:p w14:paraId="5261AE61">
      <w:pPr>
        <w:pStyle w:val="11"/>
        <w:spacing w:line="360" w:lineRule="exact"/>
        <w:ind w:firstLine="0"/>
        <w:outlineLvl w:val="0"/>
        <w:rPr>
          <w:rFonts w:ascii="Times New Roman" w:hAnsi="Times New Roman" w:eastAsia="方正黑体简体" w:cs="Times New Roman"/>
          <w:b/>
          <w:bCs/>
          <w:sz w:val="22"/>
          <w:szCs w:val="22"/>
        </w:rPr>
      </w:pPr>
      <w:r>
        <w:rPr>
          <w:rFonts w:ascii="Times New Roman" w:hAnsi="Times New Roman" w:eastAsia="方正黑体简体" w:cs="Times New Roman"/>
          <w:b/>
          <w:bCs/>
          <w:sz w:val="22"/>
          <w:szCs w:val="22"/>
        </w:rPr>
        <w:t>3. Submission of Bid</w:t>
      </w:r>
    </w:p>
    <w:p w14:paraId="086B9483">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b/>
          <w:bCs/>
          <w:sz w:val="22"/>
          <w:szCs w:val="22"/>
        </w:rPr>
        <w:t>3.1 Bid Closing Date and time:</w:t>
      </w:r>
      <w:r>
        <w:rPr>
          <w:rFonts w:ascii="Times New Roman" w:hAnsi="Times New Roman" w:eastAsia="方正仿宋简体" w:cs="Times New Roman"/>
          <w:b/>
          <w:bCs/>
          <w:sz w:val="22"/>
          <w:szCs w:val="22"/>
          <w:highlight w:val="none"/>
        </w:rPr>
        <w:t xml:space="preserve"> </w:t>
      </w:r>
      <w:r>
        <w:rPr>
          <w:rFonts w:ascii="Times New Roman" w:hAnsi="Times New Roman" w:eastAsia="方正仿宋简体" w:cs="Times New Roman"/>
          <w:sz w:val="22"/>
          <w:szCs w:val="22"/>
          <w:highlight w:val="none"/>
        </w:rPr>
        <w:t xml:space="preserve">17:00 pm, Iraq time, on </w:t>
      </w:r>
      <w:r>
        <w:rPr>
          <w:rFonts w:hint="eastAsia" w:ascii="Times New Roman" w:hAnsi="Times New Roman" w:eastAsia="方正仿宋简体" w:cs="Times New Roman"/>
          <w:sz w:val="22"/>
          <w:szCs w:val="22"/>
          <w:highlight w:val="none"/>
        </w:rPr>
        <w:t>October</w:t>
      </w:r>
      <w:r>
        <w:rPr>
          <w:rFonts w:ascii="Times New Roman" w:hAnsi="Times New Roman" w:eastAsia="方正仿宋简体" w:cs="Times New Roman"/>
          <w:sz w:val="22"/>
          <w:szCs w:val="22"/>
          <w:highlight w:val="none"/>
        </w:rPr>
        <w:t xml:space="preserve"> </w:t>
      </w:r>
      <w:r>
        <w:rPr>
          <w:rFonts w:hint="eastAsia" w:ascii="Times New Roman" w:hAnsi="Times New Roman" w:eastAsia="方正仿宋简体" w:cs="Times New Roman"/>
          <w:sz w:val="22"/>
          <w:szCs w:val="22"/>
          <w:highlight w:val="none"/>
          <w:lang w:val="en-US" w:eastAsia="zh-CN"/>
        </w:rPr>
        <w:t>9</w:t>
      </w:r>
      <w:r>
        <w:rPr>
          <w:rFonts w:ascii="Times New Roman" w:hAnsi="Times New Roman" w:eastAsia="方正仿宋简体" w:cs="Times New Roman"/>
          <w:sz w:val="22"/>
          <w:szCs w:val="22"/>
          <w:highlight w:val="none"/>
        </w:rPr>
        <w:t>th, 2026.</w:t>
      </w:r>
      <w:r>
        <w:rPr>
          <w:rFonts w:hint="eastAsia" w:ascii="Times New Roman" w:hAnsi="Times New Roman" w:eastAsia="方正仿宋简体" w:cs="Times New Roman"/>
          <w:sz w:val="22"/>
          <w:szCs w:val="22"/>
          <w:highlight w:val="none"/>
        </w:rPr>
        <w:t xml:space="preserve"> </w:t>
      </w:r>
      <w:r>
        <w:rPr>
          <w:rFonts w:ascii="Times New Roman" w:hAnsi="Times New Roman" w:eastAsia="方正仿宋简体" w:cs="Times New Roman"/>
          <w:sz w:val="22"/>
          <w:szCs w:val="22"/>
          <w:highlight w:val="none"/>
        </w:rPr>
        <w:t>T</w:t>
      </w:r>
      <w:r>
        <w:rPr>
          <w:rFonts w:ascii="Times New Roman" w:hAnsi="Times New Roman" w:eastAsia="方正仿宋简体" w:cs="Times New Roman"/>
          <w:sz w:val="22"/>
          <w:szCs w:val="22"/>
        </w:rPr>
        <w:t>he Company will not accept any overdue submissions.</w:t>
      </w:r>
    </w:p>
    <w:p w14:paraId="222D0DD4">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3.2 Tender Documents shall be submitted only by Email :</w:t>
      </w:r>
    </w:p>
    <w:p w14:paraId="3578463F">
      <w:pPr>
        <w:numPr>
          <w:ilvl w:val="0"/>
          <w:numId w:val="1"/>
        </w:numPr>
        <w:spacing w:line="360" w:lineRule="exact"/>
        <w:jc w:val="lef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The Email for The bidding documents: </w:t>
      </w:r>
    </w:p>
    <w:p w14:paraId="622BBC9F">
      <w:pPr>
        <w:spacing w:line="360" w:lineRule="exact"/>
        <w:ind w:firstLine="420" w:firstLineChars="200"/>
        <w:jc w:val="left"/>
        <w:rPr>
          <w:rFonts w:ascii="Times New Roman" w:hAnsi="Times New Roman" w:eastAsia="方正仿宋简体" w:cs="Times New Roman"/>
          <w:sz w:val="22"/>
          <w:szCs w:val="22"/>
        </w:rPr>
      </w:pPr>
      <w:r>
        <w:fldChar w:fldCharType="begin"/>
      </w:r>
      <w:r>
        <w:instrText xml:space="preserve"> HYPERLINK "mailto:fuyueyong@cnpc.com.cn," </w:instrText>
      </w:r>
      <w:r>
        <w:fldChar w:fldCharType="separate"/>
      </w:r>
      <w:r>
        <w:rPr>
          <w:rStyle w:val="10"/>
          <w:rFonts w:ascii="Times New Roman" w:hAnsi="Times New Roman" w:eastAsia="方正仿宋简体" w:cs="Times New Roman"/>
          <w:sz w:val="22"/>
          <w:szCs w:val="22"/>
        </w:rPr>
        <w:t>fuyueyong@cnpc.com.cn,</w:t>
      </w:r>
      <w:r>
        <w:rPr>
          <w:rStyle w:val="10"/>
          <w:rFonts w:ascii="Times New Roman" w:hAnsi="Times New Roman" w:eastAsia="方正仿宋简体" w:cs="Times New Roman"/>
          <w:sz w:val="22"/>
          <w:szCs w:val="22"/>
        </w:rPr>
        <w:fldChar w:fldCharType="end"/>
      </w:r>
      <w:r>
        <w:rPr>
          <w:rFonts w:hint="eastAsia" w:ascii="Times New Roman" w:hAnsi="Times New Roman" w:eastAsia="方正仿宋简体" w:cs="Times New Roman"/>
          <w:sz w:val="22"/>
          <w:szCs w:val="22"/>
        </w:rPr>
        <w:t xml:space="preserve"> </w:t>
      </w:r>
      <w:r>
        <w:rPr>
          <w:rFonts w:ascii="Times New Roman" w:hAnsi="Times New Roman" w:eastAsia="方正仿宋简体" w:cs="Times New Roman"/>
          <w:sz w:val="22"/>
          <w:szCs w:val="22"/>
        </w:rPr>
        <w:t xml:space="preserve">CC: </w:t>
      </w:r>
      <w:r>
        <w:fldChar w:fldCharType="begin"/>
      </w:r>
      <w:r>
        <w:instrText xml:space="preserve"> HYPERLINK "mailto:imm-hfy@bhdc-iraq.com" </w:instrText>
      </w:r>
      <w:r>
        <w:fldChar w:fldCharType="separate"/>
      </w:r>
      <w:r>
        <w:rPr>
          <w:rStyle w:val="10"/>
          <w:rFonts w:ascii="Times New Roman" w:hAnsi="Times New Roman" w:eastAsia="方正仿宋简体" w:cs="Times New Roman"/>
          <w:sz w:val="22"/>
          <w:szCs w:val="22"/>
        </w:rPr>
        <w:t>imm-hfy@bhdc-iraq.com</w:t>
      </w:r>
      <w:r>
        <w:rPr>
          <w:rStyle w:val="10"/>
          <w:rFonts w:ascii="Times New Roman" w:hAnsi="Times New Roman" w:eastAsia="方正仿宋简体" w:cs="Times New Roman"/>
          <w:sz w:val="22"/>
          <w:szCs w:val="22"/>
        </w:rPr>
        <w:fldChar w:fldCharType="end"/>
      </w:r>
      <w:r>
        <w:rPr>
          <w:rFonts w:hint="eastAsia" w:ascii="Times New Roman" w:hAnsi="Times New Roman" w:eastAsia="方正仿宋简体" w:cs="Times New Roman"/>
          <w:sz w:val="22"/>
          <w:szCs w:val="22"/>
        </w:rPr>
        <w:t xml:space="preserve"> </w:t>
      </w:r>
      <w:r>
        <w:rPr>
          <w:rFonts w:ascii="Times New Roman" w:hAnsi="Times New Roman" w:eastAsia="方正仿宋简体" w:cs="Times New Roman"/>
          <w:sz w:val="22"/>
          <w:szCs w:val="22"/>
        </w:rPr>
        <w:t xml:space="preserve">, </w:t>
      </w:r>
      <w:r>
        <w:fldChar w:fldCharType="begin"/>
      </w:r>
      <w:r>
        <w:instrText xml:space="preserve"> HYPERLINK "mailto:tender@bhdc-iraq.com" </w:instrText>
      </w:r>
      <w:r>
        <w:fldChar w:fldCharType="separate"/>
      </w:r>
      <w:r>
        <w:rPr>
          <w:rStyle w:val="10"/>
          <w:rFonts w:ascii="Times New Roman" w:hAnsi="Times New Roman" w:eastAsia="方正仿宋简体" w:cs="Times New Roman"/>
          <w:sz w:val="22"/>
          <w:szCs w:val="22"/>
        </w:rPr>
        <w:t>tender@bhdc-iraq.com</w:t>
      </w:r>
      <w:r>
        <w:rPr>
          <w:rStyle w:val="10"/>
          <w:rFonts w:ascii="Times New Roman" w:hAnsi="Times New Roman" w:eastAsia="方正仿宋简体" w:cs="Times New Roman"/>
          <w:sz w:val="22"/>
          <w:szCs w:val="22"/>
        </w:rPr>
        <w:fldChar w:fldCharType="end"/>
      </w:r>
      <w:r>
        <w:rPr>
          <w:rFonts w:hint="eastAsia" w:ascii="Times New Roman" w:hAnsi="Times New Roman" w:eastAsia="方正仿宋简体" w:cs="Times New Roman"/>
          <w:sz w:val="22"/>
          <w:szCs w:val="22"/>
        </w:rPr>
        <w:t xml:space="preserve"> </w:t>
      </w:r>
      <w:r>
        <w:rPr>
          <w:rFonts w:ascii="Times New Roman" w:hAnsi="Times New Roman" w:eastAsia="方正仿宋简体" w:cs="Times New Roman"/>
          <w:sz w:val="22"/>
          <w:szCs w:val="22"/>
        </w:rPr>
        <w:t xml:space="preserve">    </w:t>
      </w:r>
    </w:p>
    <w:p w14:paraId="42F00284">
      <w:pPr>
        <w:numPr>
          <w:ilvl w:val="0"/>
          <w:numId w:val="1"/>
        </w:numPr>
        <w:spacing w:line="360" w:lineRule="exact"/>
        <w:jc w:val="lef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The Email for Technical Clarifications: </w:t>
      </w:r>
    </w:p>
    <w:p w14:paraId="0C9D6B3B">
      <w:pPr>
        <w:spacing w:line="360" w:lineRule="exact"/>
        <w:ind w:firstLine="420" w:firstLineChars="200"/>
        <w:jc w:val="left"/>
        <w:rPr>
          <w:rFonts w:ascii="Times New Roman" w:hAnsi="Times New Roman" w:eastAsia="方正仿宋简体" w:cs="Times New Roman"/>
          <w:sz w:val="22"/>
          <w:szCs w:val="22"/>
        </w:rPr>
      </w:pPr>
      <w:r>
        <w:fldChar w:fldCharType="begin"/>
      </w:r>
      <w:r>
        <w:instrText xml:space="preserve"> HYPERLINK "mailto:imm-hfy@bhdc-iraq.com" </w:instrText>
      </w:r>
      <w:r>
        <w:fldChar w:fldCharType="separate"/>
      </w:r>
      <w:r>
        <w:rPr>
          <w:rStyle w:val="10"/>
          <w:rFonts w:ascii="Times New Roman" w:hAnsi="Times New Roman" w:eastAsia="方正仿宋简体" w:cs="Times New Roman"/>
          <w:sz w:val="22"/>
          <w:szCs w:val="22"/>
        </w:rPr>
        <w:t>imm-hfy@bhdc-iraq.com</w:t>
      </w:r>
      <w:r>
        <w:rPr>
          <w:rStyle w:val="10"/>
          <w:rFonts w:ascii="Times New Roman" w:hAnsi="Times New Roman" w:eastAsia="方正仿宋简体" w:cs="Times New Roman"/>
          <w:sz w:val="22"/>
          <w:szCs w:val="22"/>
        </w:rPr>
        <w:fldChar w:fldCharType="end"/>
      </w:r>
      <w:r>
        <w:rPr>
          <w:rFonts w:hint="eastAsia" w:ascii="Times New Roman" w:hAnsi="Times New Roman" w:eastAsia="方正仿宋简体" w:cs="Times New Roman"/>
          <w:sz w:val="22"/>
          <w:szCs w:val="22"/>
        </w:rPr>
        <w:t xml:space="preserve"> </w:t>
      </w:r>
      <w:r>
        <w:rPr>
          <w:rFonts w:ascii="Times New Roman" w:hAnsi="Times New Roman" w:eastAsia="方正仿宋简体" w:cs="Times New Roman"/>
          <w:sz w:val="22"/>
          <w:szCs w:val="22"/>
        </w:rPr>
        <w:t xml:space="preserve">  </w:t>
      </w:r>
    </w:p>
    <w:p w14:paraId="0E2771C8">
      <w:pPr>
        <w:numPr>
          <w:ilvl w:val="0"/>
          <w:numId w:val="1"/>
        </w:numPr>
        <w:spacing w:line="360" w:lineRule="exact"/>
        <w:jc w:val="left"/>
        <w:rPr>
          <w:rFonts w:ascii="Times New Roman" w:hAnsi="Times New Roman" w:eastAsia="方正仿宋简体" w:cs="Times New Roman"/>
          <w:sz w:val="22"/>
          <w:szCs w:val="22"/>
        </w:rPr>
      </w:pPr>
      <w:r>
        <w:rPr>
          <w:rFonts w:ascii="Times New Roman" w:hAnsi="Times New Roman" w:eastAsia="方正仿宋简体" w:cs="Times New Roman"/>
          <w:sz w:val="22"/>
          <w:szCs w:val="22"/>
        </w:rPr>
        <w:t>The Email for Acknowledgement Form:</w:t>
      </w:r>
    </w:p>
    <w:p w14:paraId="1A44B3BD">
      <w:pPr>
        <w:spacing w:line="360" w:lineRule="exact"/>
        <w:ind w:firstLine="420" w:firstLineChars="200"/>
        <w:jc w:val="left"/>
        <w:rPr>
          <w:rFonts w:ascii="Times New Roman" w:hAnsi="Times New Roman" w:eastAsia="方正仿宋简体" w:cs="Times New Roman"/>
          <w:sz w:val="22"/>
          <w:szCs w:val="22"/>
        </w:rPr>
      </w:pPr>
      <w:r>
        <w:fldChar w:fldCharType="begin"/>
      </w:r>
      <w:r>
        <w:instrText xml:space="preserve"> HYPERLINK "mailto:imm-hfy@bhdc-iraq.com" </w:instrText>
      </w:r>
      <w:r>
        <w:fldChar w:fldCharType="separate"/>
      </w:r>
      <w:r>
        <w:rPr>
          <w:rStyle w:val="10"/>
          <w:rFonts w:ascii="Times New Roman" w:hAnsi="Times New Roman" w:eastAsia="方正仿宋简体" w:cs="Times New Roman"/>
          <w:sz w:val="22"/>
          <w:szCs w:val="22"/>
        </w:rPr>
        <w:t>imm-hfy@bhdc-iraq.com</w:t>
      </w:r>
      <w:r>
        <w:rPr>
          <w:rStyle w:val="10"/>
          <w:rFonts w:ascii="Times New Roman" w:hAnsi="Times New Roman" w:eastAsia="方正仿宋简体" w:cs="Times New Roman"/>
          <w:sz w:val="22"/>
          <w:szCs w:val="22"/>
        </w:rPr>
        <w:fldChar w:fldCharType="end"/>
      </w:r>
      <w:r>
        <w:rPr>
          <w:rFonts w:hint="eastAsia" w:ascii="Times New Roman" w:hAnsi="Times New Roman" w:eastAsia="方正仿宋简体" w:cs="Times New Roman"/>
          <w:sz w:val="22"/>
          <w:szCs w:val="22"/>
        </w:rPr>
        <w:t xml:space="preserve"> </w:t>
      </w:r>
      <w:r>
        <w:rPr>
          <w:rFonts w:ascii="Times New Roman" w:hAnsi="Times New Roman" w:eastAsia="方正仿宋简体" w:cs="Times New Roman"/>
          <w:sz w:val="22"/>
          <w:szCs w:val="22"/>
        </w:rPr>
        <w:t xml:space="preserve"> </w:t>
      </w:r>
    </w:p>
    <w:p w14:paraId="58B02855">
      <w:pPr>
        <w:jc w:val="left"/>
        <w:rPr>
          <w:rFonts w:ascii="Times New Roman" w:hAnsi="Times New Roman" w:eastAsia="方正仿宋简体" w:cs="Times New Roman"/>
          <w:sz w:val="22"/>
          <w:szCs w:val="22"/>
        </w:rPr>
      </w:pPr>
    </w:p>
    <w:p w14:paraId="79083A70">
      <w:pPr>
        <w:spacing w:line="360" w:lineRule="exact"/>
        <w:jc w:val="left"/>
        <w:rPr>
          <w:rFonts w:ascii="Times New Roman" w:hAnsi="Times New Roman" w:eastAsia="方正仿宋简体" w:cs="Times New Roman"/>
          <w:b/>
          <w:bCs/>
          <w:sz w:val="22"/>
          <w:szCs w:val="22"/>
        </w:rPr>
      </w:pPr>
      <w:r>
        <w:rPr>
          <w:rFonts w:ascii="Times New Roman" w:hAnsi="Times New Roman" w:eastAsia="方正黑体简体" w:cs="Times New Roman"/>
          <w:b/>
          <w:bCs/>
          <w:sz w:val="22"/>
          <w:szCs w:val="22"/>
        </w:rPr>
        <w:t>4. Evaluation</w:t>
      </w:r>
    </w:p>
    <w:p w14:paraId="4BB6DAAA">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4.1 The evaluation panel will, under supervision, retrieve electronic bidding documents on-site, and conduct pre-qualification and response evaluation for each Bidder respectively. After the bidder’s qualification conditions are reviewed and approved by the tenderer, the evaluated lowest-bid method shall be adopted for bid evaluation.</w:t>
      </w:r>
    </w:p>
    <w:p w14:paraId="40EF8EE3">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4.2 The bid evaluation shall be conducted by an evaluation panel established in accordance with the Company's regulations. For the Bidding Documents that meet the substantive requirements of the Tender Documents, the evaluation panel shall recommend winning candidates in ascending order of the evaluated bid price. In case of equal evaluated bid prices, competitive negotiation shall be conducted with re‑bidding until the ranking is determined.</w:t>
      </w:r>
    </w:p>
    <w:p w14:paraId="41498038">
      <w:pPr>
        <w:spacing w:line="360" w:lineRule="exact"/>
        <w:rPr>
          <w:rFonts w:ascii="Times New Roman" w:hAnsi="Times New Roman" w:eastAsia="方正黑体简体" w:cs="Times New Roman"/>
          <w:b/>
          <w:bCs/>
          <w:sz w:val="22"/>
          <w:szCs w:val="22"/>
        </w:rPr>
      </w:pPr>
      <w:r>
        <w:rPr>
          <w:rFonts w:ascii="Times New Roman" w:hAnsi="Times New Roman" w:eastAsia="方正黑体简体" w:cs="Times New Roman"/>
          <w:b/>
          <w:bCs/>
          <w:sz w:val="22"/>
          <w:szCs w:val="22"/>
        </w:rPr>
        <w:t>5. Contact Details</w:t>
      </w:r>
    </w:p>
    <w:p w14:paraId="3BC8B172">
      <w:pPr>
        <w:numPr>
          <w:ilvl w:val="0"/>
          <w:numId w:val="2"/>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Company Address:Baghdad/ AL-Mansour Mila hotel 3rd Floor, Iraq</w:t>
      </w:r>
    </w:p>
    <w:p w14:paraId="1D4C38BC">
      <w:pPr>
        <w:numPr>
          <w:ilvl w:val="0"/>
          <w:numId w:val="2"/>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Contact Person:Luo Hongwei/Yang Yong</w:t>
      </w:r>
    </w:p>
    <w:p w14:paraId="1029415E">
      <w:pPr>
        <w:numPr>
          <w:ilvl w:val="0"/>
          <w:numId w:val="2"/>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Contact Information:tender@bhdc-iraq.com;</w:t>
      </w:r>
    </w:p>
    <w:p w14:paraId="19BD680D">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124D7758">
      <w:pPr>
        <w:spacing w:line="360" w:lineRule="exact"/>
        <w:ind w:firstLine="440" w:firstLineChars="200"/>
        <w:jc w:val="center"/>
        <w:rPr>
          <w:rFonts w:ascii="Times New Roman" w:hAnsi="Times New Roman" w:eastAsia="方正小标宋简体" w:cs="Times New Roman"/>
          <w:sz w:val="22"/>
          <w:szCs w:val="22"/>
        </w:rPr>
      </w:pPr>
    </w:p>
    <w:p w14:paraId="40E81C6C">
      <w:pPr>
        <w:spacing w:line="360" w:lineRule="exact"/>
        <w:ind w:firstLine="440" w:firstLineChars="200"/>
        <w:jc w:val="center"/>
        <w:rPr>
          <w:rFonts w:ascii="Times New Roman" w:hAnsi="Times New Roman" w:eastAsia="方正小标宋简体" w:cs="Times New Roman"/>
          <w:sz w:val="22"/>
          <w:szCs w:val="22"/>
        </w:rPr>
      </w:pPr>
    </w:p>
    <w:p w14:paraId="23973094">
      <w:pPr>
        <w:spacing w:line="360" w:lineRule="exact"/>
        <w:ind w:firstLine="482" w:firstLineChars="200"/>
        <w:jc w:val="center"/>
        <w:rPr>
          <w:rFonts w:ascii="Times New Roman" w:hAnsi="Times New Roman" w:eastAsia="方正仿宋简体" w:cs="Times New Roman"/>
          <w:b/>
          <w:bCs/>
          <w:sz w:val="24"/>
        </w:rPr>
      </w:pPr>
      <w:r>
        <w:rPr>
          <w:rFonts w:ascii="Times New Roman" w:hAnsi="Times New Roman" w:eastAsia="方正小标宋简体" w:cs="Times New Roman"/>
          <w:b/>
          <w:bCs/>
          <w:sz w:val="24"/>
        </w:rPr>
        <w:t>BIDDING DOCUMENT</w:t>
      </w:r>
    </w:p>
    <w:p w14:paraId="7A2F7355">
      <w:pPr>
        <w:spacing w:line="360" w:lineRule="exact"/>
        <w:ind w:firstLine="440" w:firstLineChars="200"/>
        <w:rPr>
          <w:rFonts w:ascii="Times New Roman" w:hAnsi="Times New Roman" w:eastAsia="方正仿宋简体" w:cs="Times New Roman"/>
          <w:sz w:val="22"/>
          <w:szCs w:val="22"/>
        </w:rPr>
      </w:pPr>
    </w:p>
    <w:p w14:paraId="09686E5B">
      <w:pPr>
        <w:spacing w:line="360" w:lineRule="exact"/>
        <w:ind w:firstLine="440" w:firstLineChars="200"/>
        <w:rPr>
          <w:rFonts w:ascii="Times New Roman" w:hAnsi="Times New Roman" w:eastAsia="方正仿宋简体" w:cs="Times New Roman"/>
          <w:sz w:val="22"/>
          <w:szCs w:val="22"/>
        </w:rPr>
      </w:pPr>
    </w:p>
    <w:p w14:paraId="065E50E2">
      <w:pPr>
        <w:spacing w:line="360" w:lineRule="exact"/>
        <w:ind w:firstLine="440" w:firstLineChars="200"/>
        <w:rPr>
          <w:rFonts w:ascii="Times New Roman" w:hAnsi="Times New Roman" w:eastAsia="方正仿宋简体" w:cs="Times New Roman"/>
          <w:sz w:val="22"/>
          <w:szCs w:val="22"/>
        </w:rPr>
      </w:pPr>
    </w:p>
    <w:p w14:paraId="6B51ADF0">
      <w:pPr>
        <w:spacing w:line="360" w:lineRule="exact"/>
        <w:ind w:firstLine="440" w:firstLineChars="200"/>
        <w:rPr>
          <w:rFonts w:ascii="Times New Roman" w:hAnsi="Times New Roman" w:eastAsia="方正仿宋简体" w:cs="Times New Roman"/>
          <w:sz w:val="22"/>
          <w:szCs w:val="22"/>
        </w:rPr>
      </w:pPr>
    </w:p>
    <w:p w14:paraId="378AC719">
      <w:pPr>
        <w:spacing w:line="360" w:lineRule="exact"/>
        <w:ind w:firstLine="440" w:firstLineChars="200"/>
        <w:rPr>
          <w:rFonts w:ascii="Times New Roman" w:hAnsi="Times New Roman" w:eastAsia="方正仿宋简体" w:cs="Times New Roman"/>
          <w:sz w:val="22"/>
          <w:szCs w:val="22"/>
        </w:rPr>
      </w:pPr>
    </w:p>
    <w:p w14:paraId="6204EE1C">
      <w:pPr>
        <w:spacing w:line="360" w:lineRule="exact"/>
        <w:ind w:firstLine="440" w:firstLineChars="200"/>
        <w:rPr>
          <w:rFonts w:ascii="Times New Roman" w:hAnsi="Times New Roman" w:eastAsia="方正仿宋简体" w:cs="Times New Roman"/>
          <w:sz w:val="22"/>
          <w:szCs w:val="22"/>
        </w:rPr>
      </w:pPr>
    </w:p>
    <w:p w14:paraId="722F94D1">
      <w:pPr>
        <w:spacing w:line="360" w:lineRule="exact"/>
        <w:ind w:firstLine="440" w:firstLineChars="200"/>
        <w:rPr>
          <w:rFonts w:ascii="Times New Roman" w:hAnsi="Times New Roman" w:eastAsia="方正仿宋简体" w:cs="Times New Roman"/>
          <w:sz w:val="22"/>
          <w:szCs w:val="22"/>
        </w:rPr>
      </w:pPr>
    </w:p>
    <w:p w14:paraId="266CFE4E">
      <w:pPr>
        <w:spacing w:line="360" w:lineRule="exact"/>
        <w:rPr>
          <w:rFonts w:ascii="Times New Roman" w:hAnsi="Times New Roman" w:eastAsia="方正仿宋简体" w:cs="Times New Roman"/>
          <w:sz w:val="22"/>
          <w:szCs w:val="22"/>
        </w:rPr>
      </w:pPr>
    </w:p>
    <w:p w14:paraId="3E64AADC">
      <w:pPr>
        <w:spacing w:line="360" w:lineRule="exact"/>
        <w:ind w:firstLine="440" w:firstLineChars="200"/>
        <w:rPr>
          <w:rFonts w:ascii="Times New Roman" w:hAnsi="Times New Roman" w:eastAsia="方正仿宋简体" w:cs="Times New Roman"/>
          <w:sz w:val="22"/>
          <w:szCs w:val="22"/>
        </w:rPr>
      </w:pPr>
    </w:p>
    <w:p w14:paraId="36FBA06D">
      <w:pPr>
        <w:spacing w:line="360" w:lineRule="exact"/>
        <w:ind w:firstLine="442" w:firstLineChars="200"/>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Bidder (company seal):</w:t>
      </w:r>
    </w:p>
    <w:p w14:paraId="6E463BA7">
      <w:pPr>
        <w:spacing w:line="360" w:lineRule="exact"/>
        <w:ind w:firstLine="442" w:firstLineChars="200"/>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Legal Representative or Authorized Representative (signature):</w:t>
      </w:r>
    </w:p>
    <w:p w14:paraId="176B6F81">
      <w:pPr>
        <w:spacing w:line="360" w:lineRule="exact"/>
        <w:ind w:firstLine="442" w:firstLineChars="200"/>
        <w:jc w:val="lef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[Date]</w:t>
      </w:r>
    </w:p>
    <w:p w14:paraId="0FA168D4">
      <w:pPr>
        <w:spacing w:line="360" w:lineRule="exact"/>
        <w:ind w:firstLine="440" w:firstLineChars="200"/>
        <w:rPr>
          <w:rFonts w:ascii="Times New Roman" w:hAnsi="Times New Roman" w:eastAsia="方正仿宋简体" w:cs="Times New Roman"/>
          <w:sz w:val="22"/>
          <w:szCs w:val="22"/>
        </w:rPr>
      </w:pPr>
    </w:p>
    <w:p w14:paraId="3E3F5300">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1E5FF381">
      <w:pPr>
        <w:pStyle w:val="11"/>
        <w:spacing w:line="360" w:lineRule="exact"/>
        <w:ind w:firstLine="0"/>
        <w:jc w:val="center"/>
        <w:outlineLvl w:val="0"/>
        <w:rPr>
          <w:rFonts w:ascii="Times New Roman" w:hAnsi="Times New Roman" w:eastAsia="方正小标宋简体" w:cs="Times New Roman"/>
          <w:sz w:val="22"/>
          <w:szCs w:val="22"/>
        </w:rPr>
      </w:pPr>
    </w:p>
    <w:p w14:paraId="620D60CC">
      <w:pPr>
        <w:pStyle w:val="11"/>
        <w:spacing w:line="360" w:lineRule="exact"/>
        <w:ind w:firstLine="0"/>
        <w:jc w:val="center"/>
        <w:outlineLvl w:val="0"/>
        <w:rPr>
          <w:rFonts w:ascii="Times New Roman" w:hAnsi="Times New Roman" w:eastAsia="方正小标宋简体" w:cs="Times New Roman"/>
          <w:b/>
          <w:bCs/>
          <w:sz w:val="22"/>
          <w:szCs w:val="22"/>
        </w:rPr>
      </w:pPr>
    </w:p>
    <w:p w14:paraId="36475025">
      <w:pPr>
        <w:pStyle w:val="11"/>
        <w:spacing w:line="360" w:lineRule="exact"/>
        <w:ind w:firstLine="0"/>
        <w:jc w:val="center"/>
        <w:outlineLvl w:val="0"/>
        <w:rPr>
          <w:rFonts w:ascii="Times New Roman" w:hAnsi="Times New Roman" w:eastAsia="方正小标宋简体" w:cs="Times New Roman"/>
          <w:b/>
          <w:bCs/>
          <w:sz w:val="24"/>
        </w:rPr>
      </w:pPr>
      <w:r>
        <w:rPr>
          <w:rFonts w:ascii="Times New Roman" w:hAnsi="Times New Roman" w:eastAsia="方正小标宋简体" w:cs="Times New Roman"/>
          <w:b/>
          <w:bCs/>
          <w:sz w:val="24"/>
        </w:rPr>
        <w:t>TABLE OF CONTENTS</w:t>
      </w:r>
    </w:p>
    <w:p w14:paraId="68DA73B4">
      <w:pPr>
        <w:pStyle w:val="11"/>
        <w:ind w:firstLine="0"/>
        <w:jc w:val="center"/>
        <w:outlineLvl w:val="0"/>
        <w:rPr>
          <w:rFonts w:ascii="Times New Roman" w:hAnsi="Times New Roman" w:eastAsia="方正小标宋简体" w:cs="Times New Roman"/>
          <w:b/>
          <w:bCs/>
          <w:sz w:val="22"/>
          <w:szCs w:val="22"/>
        </w:rPr>
      </w:pPr>
    </w:p>
    <w:p w14:paraId="1F95BF8C">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1. Acknowledgement Letter  </w:t>
      </w:r>
    </w:p>
    <w:p w14:paraId="4EE21AB3">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2. Legal Representative Identity Certificate and Power of Attorney  </w:t>
      </w:r>
    </w:p>
    <w:p w14:paraId="532731BF">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3. Quotations  </w:t>
      </w:r>
    </w:p>
    <w:p w14:paraId="21AC5BBB">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4. Enterprise Qualification Certificates  </w:t>
      </w:r>
    </w:p>
    <w:p w14:paraId="6C47EBA0">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5. Table of Similar Projects Completed by the Enterprise in Recent Years  </w:t>
      </w:r>
    </w:p>
    <w:p w14:paraId="1E273909">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6. Technical Requirements  </w:t>
      </w:r>
    </w:p>
    <w:p w14:paraId="61C3D4ED">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7. Relevant Commitments</w:t>
      </w:r>
    </w:p>
    <w:p w14:paraId="30CC6CF4">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2D7C92DA">
      <w:pPr>
        <w:spacing w:line="360" w:lineRule="exact"/>
        <w:ind w:firstLine="482" w:firstLineChars="200"/>
        <w:jc w:val="center"/>
        <w:rPr>
          <w:rFonts w:ascii="Times New Roman" w:hAnsi="Times New Roman" w:eastAsia="方正黑体简体" w:cs="Times New Roman"/>
          <w:b/>
          <w:bCs/>
          <w:sz w:val="24"/>
        </w:rPr>
      </w:pPr>
    </w:p>
    <w:p w14:paraId="1F1A703E">
      <w:pPr>
        <w:spacing w:line="360" w:lineRule="exact"/>
        <w:ind w:firstLine="482" w:firstLineChars="200"/>
        <w:jc w:val="center"/>
        <w:rPr>
          <w:rFonts w:ascii="Times New Roman" w:hAnsi="Times New Roman" w:eastAsia="方正黑体简体" w:cs="Times New Roman"/>
          <w:b/>
          <w:bCs/>
          <w:sz w:val="24"/>
        </w:rPr>
      </w:pPr>
      <w:r>
        <w:rPr>
          <w:rFonts w:ascii="Times New Roman" w:hAnsi="Times New Roman" w:eastAsia="方正黑体简体" w:cs="Times New Roman"/>
          <w:b/>
          <w:bCs/>
          <w:sz w:val="24"/>
        </w:rPr>
        <w:t>ACKNOWLEDGEMENT LETTER</w:t>
      </w:r>
    </w:p>
    <w:p w14:paraId="5450B318">
      <w:pPr>
        <w:spacing w:line="360" w:lineRule="exact"/>
        <w:rPr>
          <w:rFonts w:ascii="Times New Roman" w:hAnsi="Times New Roman" w:eastAsia="方正仿宋简体" w:cs="Times New Roman"/>
          <w:sz w:val="22"/>
          <w:szCs w:val="22"/>
        </w:rPr>
      </w:pPr>
    </w:p>
    <w:p w14:paraId="36F37EE1">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 xml:space="preserve">To:CNPC Bohai Drilling Engineering Company Limited- Iraq Branch </w:t>
      </w:r>
    </w:p>
    <w:p w14:paraId="36574B71">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According to your invitation to bid of the [Purchasing of Membrane Tube], I, [Name of Authorized Representative], being duly authorized by our company, hereby represent our company to participate in this bidding and submit this document.</w:t>
      </w:r>
    </w:p>
    <w:p w14:paraId="4DF5EF63">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On behalf of our company, I hereby declare and agree to the following:</w:t>
      </w:r>
    </w:p>
    <w:p w14:paraId="6EED91C9">
      <w:pPr>
        <w:numPr>
          <w:ilvl w:val="0"/>
          <w:numId w:val="3"/>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We have carefully reviewed the entire content of the document and fully accept all requirements stipulated therein, including but not limited to the service content, service standards, place of service, term of service, acceptance and payment terms, technical agreements set forth in the relevant commitments, and contracts.</w:t>
      </w:r>
    </w:p>
    <w:p w14:paraId="2AFED0A5">
      <w:pPr>
        <w:numPr>
          <w:ilvl w:val="0"/>
          <w:numId w:val="3"/>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If we are determined to be the successful bidder, we will strictly enter into a contract with you in accordance with the requirements set forth in the bidding documents and our final quotation, and we will not impose any additional conditions upon you at the time of contract execution. Within the contract term, we will strictly complete all responsibilities and obligations under the contract as required.</w:t>
      </w:r>
    </w:p>
    <w:p w14:paraId="0C9710E7">
      <w:pPr>
        <w:numPr>
          <w:ilvl w:val="0"/>
          <w:numId w:val="3"/>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If the services we provide fail to comply with the bidding documents and relevant requirements, or if we fail to provide timely services due to reasons attributable to us, we will bear liability for breach of contract in accordance with the bidding documents and contract provisions.</w:t>
      </w:r>
    </w:p>
    <w:p w14:paraId="1A7021EC">
      <w:pPr>
        <w:numPr>
          <w:ilvl w:val="0"/>
          <w:numId w:val="3"/>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This Acknowledgement Letter shall be valid for [Number] days from the date of submission. We undertake not to withdraw our quotation during the validity period and agree to strictly abide by the commitments set forth herein during such period. This Acknowledgement Letter shall remain binding upon us until the expiration of said period.</w:t>
      </w:r>
    </w:p>
    <w:p w14:paraId="5AD21075">
      <w:pPr>
        <w:numPr>
          <w:ilvl w:val="0"/>
          <w:numId w:val="3"/>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We declare that all submitted information is complete, truthful, and accurate, and that we do not fall within any of the circumstances restricted by laws, regulations, or this project.</w:t>
      </w:r>
    </w:p>
    <w:p w14:paraId="47CE3B69">
      <w:pPr>
        <w:spacing w:line="360" w:lineRule="exact"/>
        <w:rPr>
          <w:rFonts w:ascii="Times New Roman" w:hAnsi="Times New Roman" w:eastAsia="方正仿宋简体" w:cs="Times New Roman"/>
          <w:sz w:val="22"/>
          <w:szCs w:val="22"/>
        </w:rPr>
      </w:pPr>
    </w:p>
    <w:p w14:paraId="4DC9FBFE">
      <w:pPr>
        <w:spacing w:line="360" w:lineRule="exact"/>
        <w:rPr>
          <w:rFonts w:ascii="Times New Roman" w:hAnsi="Times New Roman" w:eastAsia="方正仿宋简体" w:cs="Times New Roman"/>
          <w:sz w:val="22"/>
          <w:szCs w:val="22"/>
        </w:rPr>
      </w:pPr>
    </w:p>
    <w:p w14:paraId="58D518BD">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Company (company seal):</w:t>
      </w:r>
    </w:p>
    <w:p w14:paraId="0222DFDC">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Legal Representative or Authorized Representative (signature or seal):</w:t>
      </w:r>
    </w:p>
    <w:p w14:paraId="0EF29C32">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Address:</w:t>
      </w:r>
    </w:p>
    <w:p w14:paraId="0C5ED029">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Telephone:</w:t>
      </w:r>
    </w:p>
    <w:p w14:paraId="2C645C88">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Email:</w:t>
      </w:r>
    </w:p>
    <w:p w14:paraId="213EAA9F">
      <w:pPr>
        <w:spacing w:line="360" w:lineRule="exact"/>
        <w:jc w:val="lef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[Date]</w:t>
      </w:r>
    </w:p>
    <w:p w14:paraId="7C2447BC">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16E0FD6C">
      <w:pPr>
        <w:spacing w:line="360" w:lineRule="exact"/>
        <w:ind w:firstLine="442" w:firstLineChars="200"/>
        <w:jc w:val="center"/>
        <w:rPr>
          <w:rFonts w:ascii="Times New Roman" w:hAnsi="Times New Roman" w:eastAsia="方正黑体简体" w:cs="Times New Roman"/>
          <w:b/>
          <w:bCs/>
          <w:sz w:val="22"/>
          <w:szCs w:val="22"/>
        </w:rPr>
      </w:pPr>
    </w:p>
    <w:p w14:paraId="5066D11B">
      <w:pPr>
        <w:spacing w:line="360" w:lineRule="exact"/>
        <w:ind w:firstLine="442" w:firstLineChars="200"/>
        <w:jc w:val="center"/>
        <w:rPr>
          <w:rFonts w:ascii="Times New Roman" w:hAnsi="Times New Roman" w:eastAsia="方正黑体简体" w:cs="Times New Roman"/>
          <w:b/>
          <w:bCs/>
          <w:sz w:val="22"/>
          <w:szCs w:val="22"/>
        </w:rPr>
      </w:pPr>
    </w:p>
    <w:p w14:paraId="1370CD7B">
      <w:pPr>
        <w:spacing w:line="360" w:lineRule="exact"/>
        <w:ind w:firstLine="482" w:firstLineChars="200"/>
        <w:jc w:val="center"/>
        <w:rPr>
          <w:rFonts w:ascii="Times New Roman" w:hAnsi="Times New Roman" w:eastAsia="方正黑体简体" w:cs="Times New Roman"/>
          <w:b/>
          <w:bCs/>
          <w:sz w:val="24"/>
        </w:rPr>
      </w:pPr>
      <w:r>
        <w:rPr>
          <w:rFonts w:ascii="Times New Roman" w:hAnsi="Times New Roman" w:eastAsia="方正黑体简体" w:cs="Times New Roman"/>
          <w:b/>
          <w:bCs/>
          <w:sz w:val="24"/>
        </w:rPr>
        <w:t xml:space="preserve">LEGAL REPRESENTATIVE IDENTITY CERTIFICATE AND </w:t>
      </w:r>
    </w:p>
    <w:p w14:paraId="6987A4E6">
      <w:pPr>
        <w:spacing w:line="360" w:lineRule="exact"/>
        <w:ind w:firstLine="482" w:firstLineChars="200"/>
        <w:jc w:val="center"/>
        <w:rPr>
          <w:rFonts w:ascii="Times New Roman" w:hAnsi="Times New Roman" w:eastAsia="方正仿宋简体" w:cs="Times New Roman"/>
          <w:b/>
          <w:bCs/>
          <w:sz w:val="24"/>
        </w:rPr>
      </w:pPr>
      <w:r>
        <w:rPr>
          <w:rFonts w:ascii="Times New Roman" w:hAnsi="Times New Roman" w:eastAsia="方正黑体简体" w:cs="Times New Roman"/>
          <w:b/>
          <w:bCs/>
          <w:sz w:val="24"/>
        </w:rPr>
        <w:t>POWER OF ATTORNEY</w:t>
      </w:r>
    </w:p>
    <w:p w14:paraId="13CDF4C2">
      <w:pPr>
        <w:spacing w:line="360" w:lineRule="exact"/>
        <w:ind w:firstLine="440" w:firstLineChars="200"/>
        <w:rPr>
          <w:rFonts w:ascii="Times New Roman" w:hAnsi="Times New Roman" w:eastAsia="方正仿宋简体" w:cs="Times New Roman"/>
          <w:sz w:val="22"/>
          <w:szCs w:val="22"/>
        </w:rPr>
      </w:pPr>
    </w:p>
    <w:p w14:paraId="5F336ADA">
      <w:pPr>
        <w:spacing w:line="360" w:lineRule="exact"/>
        <w:rPr>
          <w:rFonts w:ascii="Times New Roman" w:hAnsi="Times New Roman" w:eastAsia="方正仿宋简体" w:cs="Times New Roman"/>
          <w:sz w:val="22"/>
          <w:szCs w:val="22"/>
        </w:rPr>
      </w:pPr>
    </w:p>
    <w:p w14:paraId="529705C2">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Note: If the legal representative participates in negotiations and signing contracts, only the Identity Certificate of the Legal Representative shall be provided. If an authorized representative participates in negotiations and signing contracts, both the Identity Certificate of the Legal Representative and the Power of Attorney shall be provided.</w:t>
      </w:r>
    </w:p>
    <w:p w14:paraId="06C4D825">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48A4AFCC">
      <w:pPr>
        <w:spacing w:line="360" w:lineRule="exact"/>
        <w:ind w:firstLine="442" w:firstLineChars="200"/>
        <w:jc w:val="center"/>
        <w:rPr>
          <w:rFonts w:ascii="Times New Roman" w:hAnsi="Times New Roman" w:eastAsia="方正黑体简体" w:cs="Times New Roman"/>
          <w:b/>
          <w:bCs/>
          <w:sz w:val="22"/>
          <w:szCs w:val="22"/>
        </w:rPr>
      </w:pPr>
    </w:p>
    <w:p w14:paraId="70F91354">
      <w:pPr>
        <w:spacing w:line="360" w:lineRule="exact"/>
        <w:ind w:firstLine="442" w:firstLineChars="200"/>
        <w:jc w:val="center"/>
        <w:rPr>
          <w:rFonts w:ascii="Times New Roman" w:hAnsi="Times New Roman" w:eastAsia="方正黑体简体" w:cs="Times New Roman"/>
          <w:b/>
          <w:bCs/>
          <w:sz w:val="22"/>
          <w:szCs w:val="22"/>
        </w:rPr>
      </w:pPr>
    </w:p>
    <w:p w14:paraId="1E675EC6">
      <w:pPr>
        <w:spacing w:line="360" w:lineRule="exact"/>
        <w:ind w:firstLine="482" w:firstLineChars="200"/>
        <w:jc w:val="center"/>
        <w:rPr>
          <w:rFonts w:ascii="Times New Roman" w:hAnsi="Times New Roman" w:eastAsia="方正黑体简体" w:cs="Times New Roman"/>
          <w:b/>
          <w:bCs/>
          <w:sz w:val="24"/>
        </w:rPr>
      </w:pPr>
      <w:r>
        <w:rPr>
          <w:rFonts w:ascii="Times New Roman" w:hAnsi="Times New Roman" w:eastAsia="方正黑体简体" w:cs="Times New Roman"/>
          <w:b/>
          <w:bCs/>
          <w:sz w:val="24"/>
        </w:rPr>
        <w:t>LEGAL REPRESENTATIVE IDENTITY CERTIFICATE</w:t>
      </w:r>
    </w:p>
    <w:p w14:paraId="7EABA313">
      <w:pPr>
        <w:spacing w:line="360" w:lineRule="exact"/>
        <w:ind w:firstLine="442" w:firstLineChars="200"/>
        <w:rPr>
          <w:rFonts w:ascii="Times New Roman" w:hAnsi="Times New Roman" w:eastAsia="方正黑体简体" w:cs="Times New Roman"/>
          <w:b/>
          <w:bCs/>
          <w:sz w:val="22"/>
          <w:szCs w:val="22"/>
        </w:rPr>
      </w:pPr>
    </w:p>
    <w:p w14:paraId="199C053E">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Company:</w:t>
      </w:r>
    </w:p>
    <w:p w14:paraId="1181E063">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 xml:space="preserve">Name: </w:t>
      </w:r>
    </w:p>
    <w:p w14:paraId="3E89E6AB">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Gender:</w:t>
      </w:r>
    </w:p>
    <w:p w14:paraId="4B630A82">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Age:</w:t>
      </w:r>
    </w:p>
    <w:p w14:paraId="3196F5A5">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The above-named individual is the Legal Representative of (Company).</w:t>
      </w:r>
    </w:p>
    <w:p w14:paraId="075A7B4F">
      <w:pPr>
        <w:spacing w:line="360" w:lineRule="exact"/>
        <w:rPr>
          <w:rFonts w:ascii="Times New Roman" w:hAnsi="Times New Roman" w:eastAsia="方正仿宋简体" w:cs="Times New Roman"/>
          <w:sz w:val="22"/>
          <w:szCs w:val="22"/>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2"/>
      </w:tblGrid>
      <w:tr w14:paraId="6F7E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7" w:hRule="atLeast"/>
          <w:jc w:val="center"/>
        </w:trPr>
        <w:tc>
          <w:tcPr>
            <w:tcW w:w="5732" w:type="dxa"/>
            <w:vAlign w:val="center"/>
          </w:tcPr>
          <w:p w14:paraId="35393A4D">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Legal Representative Identity Certificate (scanned copy)</w:t>
            </w:r>
          </w:p>
        </w:tc>
      </w:tr>
    </w:tbl>
    <w:p w14:paraId="5EABDE90">
      <w:pPr>
        <w:spacing w:line="360" w:lineRule="exact"/>
        <w:rPr>
          <w:rFonts w:ascii="Times New Roman" w:hAnsi="Times New Roman" w:eastAsia="方正仿宋简体" w:cs="Times New Roman"/>
          <w:sz w:val="22"/>
          <w:szCs w:val="22"/>
        </w:rPr>
      </w:pPr>
    </w:p>
    <w:p w14:paraId="02863486">
      <w:pPr>
        <w:spacing w:line="360" w:lineRule="exact"/>
        <w:jc w:val="right"/>
        <w:rPr>
          <w:rFonts w:ascii="Times New Roman" w:hAnsi="Times New Roman" w:eastAsia="方正仿宋简体" w:cs="Times New Roman"/>
          <w:sz w:val="22"/>
          <w:szCs w:val="22"/>
        </w:rPr>
      </w:pPr>
    </w:p>
    <w:p w14:paraId="7199B5F8">
      <w:pPr>
        <w:spacing w:line="360" w:lineRule="exact"/>
        <w:jc w:val="left"/>
        <w:rPr>
          <w:rFonts w:ascii="Times New Roman" w:hAnsi="Times New Roman" w:eastAsia="方正仿宋简体" w:cs="Times New Roman"/>
          <w:b/>
          <w:bCs/>
          <w:sz w:val="22"/>
          <w:szCs w:val="22"/>
        </w:rPr>
      </w:pPr>
    </w:p>
    <w:p w14:paraId="30E6DB44">
      <w:pPr>
        <w:spacing w:line="360" w:lineRule="exact"/>
        <w:jc w:val="lef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Company: (Company seal)</w:t>
      </w:r>
    </w:p>
    <w:p w14:paraId="237686F6">
      <w:pPr>
        <w:spacing w:line="360" w:lineRule="exact"/>
        <w:jc w:val="left"/>
        <w:rPr>
          <w:rFonts w:ascii="Times New Roman" w:hAnsi="Times New Roman" w:eastAsia="方正仿宋简体" w:cs="Times New Roman"/>
          <w:b/>
          <w:bCs/>
          <w:sz w:val="22"/>
          <w:szCs w:val="22"/>
        </w:rPr>
      </w:pPr>
    </w:p>
    <w:p w14:paraId="15245B3E">
      <w:pPr>
        <w:spacing w:line="360" w:lineRule="exact"/>
        <w:jc w:val="lef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[Date]</w:t>
      </w:r>
    </w:p>
    <w:p w14:paraId="2ECD2521">
      <w:pPr>
        <w:spacing w:line="360" w:lineRule="exact"/>
        <w:ind w:firstLine="442" w:firstLineChars="200"/>
        <w:rPr>
          <w:rFonts w:ascii="Times New Roman" w:hAnsi="Times New Roman" w:eastAsia="方正仿宋简体" w:cs="Times New Roman"/>
          <w:b/>
          <w:bCs/>
          <w:sz w:val="22"/>
          <w:szCs w:val="22"/>
        </w:rPr>
      </w:pPr>
    </w:p>
    <w:p w14:paraId="0F162108">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5EFDF2AA">
      <w:pPr>
        <w:spacing w:line="360" w:lineRule="exact"/>
        <w:ind w:firstLine="442" w:firstLineChars="200"/>
        <w:jc w:val="center"/>
        <w:rPr>
          <w:rFonts w:ascii="Times New Roman" w:hAnsi="Times New Roman" w:eastAsia="方正黑体简体" w:cs="Times New Roman"/>
          <w:b/>
          <w:bCs/>
          <w:sz w:val="22"/>
          <w:szCs w:val="22"/>
        </w:rPr>
      </w:pPr>
    </w:p>
    <w:p w14:paraId="4F535DE4">
      <w:pPr>
        <w:spacing w:line="360" w:lineRule="exact"/>
        <w:ind w:firstLine="482" w:firstLineChars="200"/>
        <w:jc w:val="center"/>
        <w:rPr>
          <w:rFonts w:ascii="Times New Roman" w:hAnsi="Times New Roman" w:eastAsia="方正黑体简体" w:cs="Times New Roman"/>
          <w:b/>
          <w:bCs/>
          <w:sz w:val="24"/>
        </w:rPr>
      </w:pPr>
      <w:r>
        <w:rPr>
          <w:rFonts w:ascii="Times New Roman" w:hAnsi="Times New Roman" w:eastAsia="方正黑体简体" w:cs="Times New Roman"/>
          <w:b/>
          <w:bCs/>
          <w:sz w:val="24"/>
        </w:rPr>
        <w:t>POWER OF ATTORNEY</w:t>
      </w:r>
    </w:p>
    <w:p w14:paraId="4C45D084">
      <w:pPr>
        <w:spacing w:line="360" w:lineRule="exact"/>
        <w:ind w:firstLine="442" w:firstLineChars="200"/>
        <w:rPr>
          <w:rFonts w:ascii="Times New Roman" w:hAnsi="Times New Roman" w:eastAsia="方正黑体简体" w:cs="Times New Roman"/>
          <w:b/>
          <w:bCs/>
          <w:sz w:val="22"/>
          <w:szCs w:val="22"/>
        </w:rPr>
      </w:pPr>
    </w:p>
    <w:p w14:paraId="2D5D25E1">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I, (Name), the Legal Representative of (Company), hereby appoint (Name) as my authorized representative. The authorized representative is empowered, under this authorization, to participate in this bidding, execute contracts, and handle all related matters on our behalf, and the legal consequences shall be borne by us.</w:t>
      </w:r>
    </w:p>
    <w:p w14:paraId="6982FEFB">
      <w:pPr>
        <w:rPr>
          <w:rFonts w:ascii="Times New Roman" w:hAnsi="Times New Roman" w:eastAsia="方正仿宋简体" w:cs="Times New Roman"/>
          <w:sz w:val="22"/>
          <w:szCs w:val="22"/>
        </w:rPr>
      </w:pPr>
    </w:p>
    <w:p w14:paraId="617CBFA5">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Term of Authorization: From the date of execution of this Power of Attorney until [Date] (or from the date of execution of this Power of Attorney until the completion of this bidding and contract).</w:t>
      </w:r>
    </w:p>
    <w:p w14:paraId="09D0FC54">
      <w:pPr>
        <w:spacing w:line="360" w:lineRule="exact"/>
        <w:rPr>
          <w:rFonts w:ascii="Times New Roman" w:hAnsi="Times New Roman" w:eastAsia="方正仿宋简体" w:cs="Times New Roman"/>
          <w:sz w:val="22"/>
          <w:szCs w:val="22"/>
        </w:rPr>
      </w:pPr>
    </w:p>
    <w:p w14:paraId="316CDEC2">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The authorized representative has no right of sub-delegation.</w:t>
      </w:r>
    </w:p>
    <w:p w14:paraId="38AA93D1">
      <w:pPr>
        <w:rPr>
          <w:rFonts w:ascii="Times New Roman" w:hAnsi="Times New Roman" w:eastAsia="方正仿宋简体" w:cs="Times New Roman"/>
          <w:sz w:val="22"/>
          <w:szCs w:val="22"/>
        </w:rPr>
      </w:pPr>
    </w:p>
    <w:p w14:paraId="02F57C84">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Attached: Identity certificates of the Legal Representative and the Authorized Representative</w:t>
      </w:r>
    </w:p>
    <w:tbl>
      <w:tblPr>
        <w:tblStyle w:val="7"/>
        <w:tblW w:w="5087"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4"/>
        <w:gridCol w:w="4336"/>
      </w:tblGrid>
      <w:tr w14:paraId="3782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7" w:hRule="atLeast"/>
        </w:trPr>
        <w:tc>
          <w:tcPr>
            <w:tcW w:w="2499" w:type="pct"/>
            <w:tcBorders>
              <w:top w:val="single" w:color="auto" w:sz="4" w:space="0"/>
              <w:left w:val="single" w:color="auto" w:sz="4" w:space="0"/>
              <w:bottom w:val="single" w:color="auto" w:sz="4" w:space="0"/>
              <w:right w:val="single" w:color="auto" w:sz="4" w:space="0"/>
            </w:tcBorders>
            <w:vAlign w:val="center"/>
          </w:tcPr>
          <w:p w14:paraId="1EB68149">
            <w:pPr>
              <w:pStyle w:val="3"/>
              <w:spacing w:after="0" w:line="360" w:lineRule="exact"/>
              <w:jc w:val="center"/>
              <w:rPr>
                <w:rFonts w:ascii="Times New Roman" w:hAnsi="Times New Roman" w:eastAsia="方正仿宋简体"/>
                <w:b w:val="0"/>
                <w:bCs w:val="0"/>
                <w:sz w:val="22"/>
                <w:szCs w:val="22"/>
              </w:rPr>
            </w:pPr>
          </w:p>
          <w:p w14:paraId="5A8AA33D">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Legal Representative Identity Certificate (scanned copy)</w:t>
            </w:r>
          </w:p>
          <w:p w14:paraId="13A54436">
            <w:pPr>
              <w:pStyle w:val="3"/>
              <w:spacing w:after="0" w:line="360" w:lineRule="exact"/>
              <w:jc w:val="center"/>
              <w:rPr>
                <w:rFonts w:ascii="Times New Roman" w:hAnsi="Times New Roman" w:eastAsia="方正仿宋简体"/>
                <w:b w:val="0"/>
                <w:bCs w:val="0"/>
                <w:sz w:val="22"/>
                <w:szCs w:val="22"/>
              </w:rPr>
            </w:pPr>
          </w:p>
        </w:tc>
        <w:tc>
          <w:tcPr>
            <w:tcW w:w="2500" w:type="pct"/>
            <w:tcBorders>
              <w:top w:val="single" w:color="auto" w:sz="4" w:space="0"/>
              <w:left w:val="single" w:color="auto" w:sz="4" w:space="0"/>
              <w:bottom w:val="single" w:color="auto" w:sz="4" w:space="0"/>
              <w:right w:val="single" w:color="auto" w:sz="4" w:space="0"/>
            </w:tcBorders>
            <w:vAlign w:val="center"/>
          </w:tcPr>
          <w:p w14:paraId="4636986B">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Authorized Representative Identity Certificate (scanned copy)</w:t>
            </w:r>
          </w:p>
        </w:tc>
      </w:tr>
    </w:tbl>
    <w:p w14:paraId="1652DDC4">
      <w:pPr>
        <w:spacing w:line="360" w:lineRule="exact"/>
        <w:ind w:firstLine="440" w:firstLineChars="200"/>
        <w:rPr>
          <w:rFonts w:ascii="Times New Roman" w:hAnsi="Times New Roman" w:eastAsia="方正仿宋简体" w:cs="Times New Roman"/>
          <w:sz w:val="22"/>
          <w:szCs w:val="22"/>
        </w:rPr>
      </w:pPr>
    </w:p>
    <w:p w14:paraId="04125B9C">
      <w:pPr>
        <w:spacing w:line="360" w:lineRule="exact"/>
        <w:ind w:firstLine="440" w:firstLineChars="200"/>
        <w:rPr>
          <w:rFonts w:ascii="Times New Roman" w:hAnsi="Times New Roman" w:eastAsia="方正仿宋简体" w:cs="Times New Roman"/>
          <w:sz w:val="22"/>
          <w:szCs w:val="22"/>
        </w:rPr>
      </w:pPr>
    </w:p>
    <w:p w14:paraId="4F511403">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Company: (Company seal)</w:t>
      </w:r>
    </w:p>
    <w:p w14:paraId="74799499">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Legal Representative: (Signature)</w:t>
      </w:r>
    </w:p>
    <w:p w14:paraId="7746A5CB">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Authorized Representative: (Signature)</w:t>
      </w:r>
    </w:p>
    <w:p w14:paraId="6C535275">
      <w:pPr>
        <w:spacing w:line="360" w:lineRule="exact"/>
        <w:jc w:val="lef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[Date]</w:t>
      </w:r>
    </w:p>
    <w:p w14:paraId="538F3A21">
      <w:pPr>
        <w:spacing w:line="360" w:lineRule="exact"/>
        <w:ind w:firstLine="440" w:firstLineChars="200"/>
        <w:jc w:val="left"/>
        <w:rPr>
          <w:rFonts w:ascii="Times New Roman" w:hAnsi="Times New Roman" w:eastAsia="方正仿宋简体" w:cs="Times New Roman"/>
          <w:sz w:val="22"/>
          <w:szCs w:val="22"/>
        </w:rPr>
      </w:pPr>
    </w:p>
    <w:p w14:paraId="38B5E5EC">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3FCA64D4">
      <w:pPr>
        <w:spacing w:line="360" w:lineRule="exact"/>
        <w:ind w:firstLine="442" w:firstLineChars="200"/>
        <w:jc w:val="center"/>
        <w:rPr>
          <w:rFonts w:ascii="Times New Roman" w:hAnsi="Times New Roman" w:eastAsia="方正黑体简体" w:cs="Times New Roman"/>
          <w:b/>
          <w:bCs/>
          <w:sz w:val="22"/>
          <w:szCs w:val="22"/>
        </w:rPr>
        <w:sectPr>
          <w:pgSz w:w="11906" w:h="16838"/>
          <w:pgMar w:top="1440" w:right="1800" w:bottom="1440" w:left="1800" w:header="851" w:footer="992" w:gutter="0"/>
          <w:cols w:space="425" w:num="1"/>
          <w:docGrid w:type="lines" w:linePitch="312" w:charSpace="0"/>
        </w:sectPr>
      </w:pPr>
    </w:p>
    <w:p w14:paraId="4C45E885">
      <w:pPr>
        <w:spacing w:line="360" w:lineRule="exact"/>
        <w:jc w:val="center"/>
        <w:rPr>
          <w:rFonts w:ascii="Times New Roman" w:hAnsi="Times New Roman" w:eastAsia="方正黑体简体" w:cs="Times New Roman"/>
          <w:b/>
          <w:bCs/>
          <w:sz w:val="24"/>
        </w:rPr>
      </w:pPr>
      <w:r>
        <w:rPr>
          <w:rFonts w:ascii="Times New Roman" w:hAnsi="Times New Roman" w:eastAsia="方正黑体简体" w:cs="Times New Roman"/>
          <w:b/>
          <w:bCs/>
          <w:sz w:val="24"/>
        </w:rPr>
        <w:t>QUOTATION</w:t>
      </w:r>
    </w:p>
    <w:p w14:paraId="30F606A4">
      <w:pPr>
        <w:spacing w:line="360" w:lineRule="exact"/>
        <w:ind w:firstLine="440" w:firstLineChars="200"/>
        <w:rPr>
          <w:rFonts w:ascii="Times New Roman" w:hAnsi="Times New Roman" w:eastAsia="方正仿宋简体" w:cs="Times New Roman"/>
          <w:sz w:val="22"/>
          <w:szCs w:val="22"/>
        </w:rPr>
      </w:pPr>
    </w:p>
    <w:p w14:paraId="696990A0">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Subject:Purchasing of Membrane Tube</w:t>
      </w:r>
    </w:p>
    <w:p w14:paraId="11DE3C2B">
      <w:pPr>
        <w:spacing w:line="360" w:lineRule="exact"/>
        <w:jc w:val="left"/>
        <w:rPr>
          <w:rFonts w:ascii="Times New Roman" w:hAnsi="Times New Roman" w:eastAsia="方正仿宋简体" w:cs="Times New Roman"/>
          <w:sz w:val="22"/>
          <w:szCs w:val="22"/>
        </w:rPr>
      </w:pPr>
      <w:r>
        <w:rPr>
          <w:rFonts w:ascii="Times New Roman" w:hAnsi="Times New Roman" w:eastAsia="方正仿宋简体" w:cs="Times New Roman"/>
          <w:sz w:val="22"/>
          <w:szCs w:val="22"/>
        </w:rPr>
        <w:t>Bid Section : 1                                                                                                      Currency:USD</w:t>
      </w:r>
    </w:p>
    <w:tbl>
      <w:tblPr>
        <w:tblStyle w:val="7"/>
        <w:tblW w:w="14214" w:type="dxa"/>
        <w:tblInd w:w="91" w:type="dxa"/>
        <w:tblLayout w:type="autofit"/>
        <w:tblCellMar>
          <w:top w:w="0" w:type="dxa"/>
          <w:left w:w="108" w:type="dxa"/>
          <w:bottom w:w="0" w:type="dxa"/>
          <w:right w:w="108" w:type="dxa"/>
        </w:tblCellMar>
      </w:tblPr>
      <w:tblGrid>
        <w:gridCol w:w="710"/>
        <w:gridCol w:w="3701"/>
        <w:gridCol w:w="4523"/>
        <w:gridCol w:w="2110"/>
        <w:gridCol w:w="1129"/>
        <w:gridCol w:w="2041"/>
      </w:tblGrid>
      <w:tr w14:paraId="1D8987D5">
        <w:trPr>
          <w:cantSplit/>
          <w:trHeight w:val="401" w:hRule="atLeast"/>
        </w:trPr>
        <w:tc>
          <w:tcPr>
            <w:tcW w:w="710" w:type="dxa"/>
            <w:vMerge w:val="restart"/>
            <w:tcBorders>
              <w:top w:val="single" w:color="auto" w:sz="4" w:space="0"/>
              <w:left w:val="single" w:color="auto" w:sz="4" w:space="0"/>
              <w:bottom w:val="single" w:color="auto" w:sz="4" w:space="0"/>
              <w:right w:val="single" w:color="auto" w:sz="4" w:space="0"/>
            </w:tcBorders>
            <w:vAlign w:val="center"/>
          </w:tcPr>
          <w:p w14:paraId="15B702A2">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S.N</w:t>
            </w:r>
          </w:p>
        </w:tc>
        <w:tc>
          <w:tcPr>
            <w:tcW w:w="3701" w:type="dxa"/>
            <w:vMerge w:val="restart"/>
            <w:tcBorders>
              <w:top w:val="single" w:color="auto" w:sz="4" w:space="0"/>
              <w:left w:val="single" w:color="auto" w:sz="4" w:space="0"/>
              <w:bottom w:val="single" w:color="auto" w:sz="4" w:space="0"/>
              <w:right w:val="single" w:color="auto" w:sz="4" w:space="0"/>
            </w:tcBorders>
            <w:vAlign w:val="center"/>
          </w:tcPr>
          <w:p w14:paraId="28ECBF7E">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Name/Description</w:t>
            </w:r>
          </w:p>
        </w:tc>
        <w:tc>
          <w:tcPr>
            <w:tcW w:w="4523" w:type="dxa"/>
            <w:vMerge w:val="restart"/>
            <w:tcBorders>
              <w:top w:val="single" w:color="auto" w:sz="4" w:space="0"/>
              <w:left w:val="single" w:color="auto" w:sz="4" w:space="0"/>
              <w:bottom w:val="single" w:color="auto" w:sz="4" w:space="0"/>
              <w:right w:val="single" w:color="auto" w:sz="4" w:space="0"/>
            </w:tcBorders>
            <w:vAlign w:val="center"/>
          </w:tcPr>
          <w:p w14:paraId="1D7B18EC">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Specification</w:t>
            </w:r>
          </w:p>
        </w:tc>
        <w:tc>
          <w:tcPr>
            <w:tcW w:w="2110" w:type="dxa"/>
            <w:vMerge w:val="restart"/>
            <w:tcBorders>
              <w:top w:val="single" w:color="auto" w:sz="4" w:space="0"/>
              <w:left w:val="single" w:color="auto" w:sz="4" w:space="0"/>
              <w:bottom w:val="single" w:color="auto" w:sz="4" w:space="0"/>
              <w:right w:val="single" w:color="auto" w:sz="4" w:space="0"/>
            </w:tcBorders>
            <w:vAlign w:val="center"/>
          </w:tcPr>
          <w:p w14:paraId="1677C88A">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Remark</w:t>
            </w:r>
          </w:p>
        </w:tc>
        <w:tc>
          <w:tcPr>
            <w:tcW w:w="1129" w:type="dxa"/>
            <w:vMerge w:val="restart"/>
            <w:tcBorders>
              <w:top w:val="single" w:color="auto" w:sz="4" w:space="0"/>
              <w:left w:val="single" w:color="auto" w:sz="4" w:space="0"/>
              <w:bottom w:val="single" w:color="auto" w:sz="4" w:space="0"/>
              <w:right w:val="single" w:color="auto" w:sz="4" w:space="0"/>
            </w:tcBorders>
            <w:vAlign w:val="center"/>
          </w:tcPr>
          <w:p w14:paraId="0C550F75">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Unit</w:t>
            </w:r>
          </w:p>
        </w:tc>
        <w:tc>
          <w:tcPr>
            <w:tcW w:w="2041" w:type="dxa"/>
            <w:vMerge w:val="restart"/>
            <w:tcBorders>
              <w:top w:val="single" w:color="auto" w:sz="4" w:space="0"/>
              <w:left w:val="single" w:color="auto" w:sz="4" w:space="0"/>
              <w:bottom w:val="single" w:color="auto" w:sz="4" w:space="0"/>
              <w:right w:val="single" w:color="auto" w:sz="4" w:space="0"/>
            </w:tcBorders>
            <w:vAlign w:val="center"/>
          </w:tcPr>
          <w:p w14:paraId="363EAD42">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Unit Price (USD)</w:t>
            </w:r>
          </w:p>
        </w:tc>
      </w:tr>
      <w:tr w14:paraId="674B5CD1">
        <w:tblPrEx>
          <w:tblCellMar>
            <w:top w:w="0" w:type="dxa"/>
            <w:left w:w="108" w:type="dxa"/>
            <w:bottom w:w="0" w:type="dxa"/>
            <w:right w:w="108" w:type="dxa"/>
          </w:tblCellMar>
        </w:tblPrEx>
        <w:trPr>
          <w:cantSplit/>
          <w:trHeight w:val="342" w:hRule="atLeast"/>
        </w:trPr>
        <w:tc>
          <w:tcPr>
            <w:tcW w:w="710" w:type="dxa"/>
            <w:vMerge w:val="continue"/>
            <w:tcBorders>
              <w:top w:val="single" w:color="auto" w:sz="4" w:space="0"/>
              <w:left w:val="single" w:color="auto" w:sz="4" w:space="0"/>
              <w:bottom w:val="single" w:color="auto" w:sz="4" w:space="0"/>
              <w:right w:val="single" w:color="auto" w:sz="4" w:space="0"/>
            </w:tcBorders>
            <w:vAlign w:val="center"/>
          </w:tcPr>
          <w:p w14:paraId="402CBB77">
            <w:pPr>
              <w:widowControl/>
              <w:rPr>
                <w:rFonts w:ascii="Times New Roman" w:hAnsi="Times New Roman" w:eastAsia="宋体" w:cs="Times New Roman"/>
                <w:b/>
                <w:bCs/>
                <w:sz w:val="22"/>
                <w:szCs w:val="22"/>
              </w:rPr>
            </w:pPr>
          </w:p>
        </w:tc>
        <w:tc>
          <w:tcPr>
            <w:tcW w:w="3701" w:type="dxa"/>
            <w:vMerge w:val="continue"/>
            <w:tcBorders>
              <w:top w:val="single" w:color="auto" w:sz="4" w:space="0"/>
              <w:left w:val="single" w:color="auto" w:sz="4" w:space="0"/>
              <w:bottom w:val="single" w:color="auto" w:sz="4" w:space="0"/>
              <w:right w:val="single" w:color="auto" w:sz="4" w:space="0"/>
            </w:tcBorders>
            <w:vAlign w:val="center"/>
          </w:tcPr>
          <w:p w14:paraId="0F2089D8">
            <w:pPr>
              <w:widowControl/>
              <w:rPr>
                <w:rFonts w:ascii="Times New Roman" w:hAnsi="Times New Roman" w:eastAsia="宋体" w:cs="Times New Roman"/>
                <w:b/>
                <w:bCs/>
                <w:sz w:val="22"/>
                <w:szCs w:val="22"/>
              </w:rPr>
            </w:pPr>
          </w:p>
        </w:tc>
        <w:tc>
          <w:tcPr>
            <w:tcW w:w="4523" w:type="dxa"/>
            <w:vMerge w:val="continue"/>
            <w:tcBorders>
              <w:top w:val="single" w:color="auto" w:sz="4" w:space="0"/>
              <w:left w:val="single" w:color="auto" w:sz="4" w:space="0"/>
              <w:bottom w:val="single" w:color="auto" w:sz="4" w:space="0"/>
              <w:right w:val="single" w:color="auto" w:sz="4" w:space="0"/>
            </w:tcBorders>
            <w:vAlign w:val="center"/>
          </w:tcPr>
          <w:p w14:paraId="6E54CD20">
            <w:pPr>
              <w:widowControl/>
              <w:rPr>
                <w:rFonts w:ascii="Times New Roman" w:hAnsi="Times New Roman" w:eastAsia="宋体" w:cs="Times New Roman"/>
                <w:b/>
                <w:bCs/>
                <w:sz w:val="22"/>
                <w:szCs w:val="22"/>
              </w:rPr>
            </w:pPr>
          </w:p>
        </w:tc>
        <w:tc>
          <w:tcPr>
            <w:tcW w:w="2110" w:type="dxa"/>
            <w:vMerge w:val="continue"/>
            <w:tcBorders>
              <w:top w:val="single" w:color="auto" w:sz="4" w:space="0"/>
              <w:left w:val="single" w:color="auto" w:sz="4" w:space="0"/>
              <w:bottom w:val="single" w:color="auto" w:sz="4" w:space="0"/>
              <w:right w:val="single" w:color="auto" w:sz="4" w:space="0"/>
            </w:tcBorders>
            <w:vAlign w:val="center"/>
          </w:tcPr>
          <w:p w14:paraId="464E4487">
            <w:pPr>
              <w:widowControl/>
              <w:rPr>
                <w:rFonts w:ascii="Times New Roman" w:hAnsi="Times New Roman" w:eastAsia="宋体" w:cs="Times New Roman"/>
                <w:b/>
                <w:bCs/>
                <w:sz w:val="22"/>
                <w:szCs w:val="22"/>
              </w:rPr>
            </w:pPr>
          </w:p>
        </w:tc>
        <w:tc>
          <w:tcPr>
            <w:tcW w:w="1129" w:type="dxa"/>
            <w:vMerge w:val="continue"/>
            <w:tcBorders>
              <w:top w:val="single" w:color="auto" w:sz="4" w:space="0"/>
              <w:left w:val="single" w:color="auto" w:sz="4" w:space="0"/>
              <w:bottom w:val="single" w:color="auto" w:sz="4" w:space="0"/>
              <w:right w:val="single" w:color="auto" w:sz="4" w:space="0"/>
            </w:tcBorders>
            <w:vAlign w:val="center"/>
          </w:tcPr>
          <w:p w14:paraId="43A7CB48">
            <w:pPr>
              <w:widowControl/>
              <w:rPr>
                <w:rFonts w:ascii="Times New Roman" w:hAnsi="Times New Roman" w:eastAsia="宋体" w:cs="Times New Roman"/>
                <w:b/>
                <w:bCs/>
                <w:sz w:val="22"/>
                <w:szCs w:val="22"/>
              </w:rPr>
            </w:pPr>
          </w:p>
        </w:tc>
        <w:tc>
          <w:tcPr>
            <w:tcW w:w="2041" w:type="dxa"/>
            <w:vMerge w:val="continue"/>
            <w:tcBorders>
              <w:top w:val="single" w:color="auto" w:sz="4" w:space="0"/>
              <w:left w:val="single" w:color="auto" w:sz="4" w:space="0"/>
              <w:bottom w:val="single" w:color="auto" w:sz="4" w:space="0"/>
              <w:right w:val="single" w:color="auto" w:sz="4" w:space="0"/>
            </w:tcBorders>
            <w:vAlign w:val="center"/>
          </w:tcPr>
          <w:p w14:paraId="172E53A3">
            <w:pPr>
              <w:widowControl/>
              <w:rPr>
                <w:rFonts w:ascii="Times New Roman" w:hAnsi="Times New Roman" w:eastAsia="宋体" w:cs="Times New Roman"/>
                <w:b/>
                <w:bCs/>
                <w:sz w:val="22"/>
                <w:szCs w:val="22"/>
              </w:rPr>
            </w:pPr>
          </w:p>
        </w:tc>
      </w:tr>
      <w:tr w14:paraId="759F8A62">
        <w:tblPrEx>
          <w:tblCellMar>
            <w:top w:w="0" w:type="dxa"/>
            <w:left w:w="108" w:type="dxa"/>
            <w:bottom w:w="0" w:type="dxa"/>
            <w:right w:w="108" w:type="dxa"/>
          </w:tblCellMar>
        </w:tblPrEx>
        <w:trPr>
          <w:cantSplit/>
          <w:trHeight w:val="253" w:hRule="atLeast"/>
        </w:trPr>
        <w:tc>
          <w:tcPr>
            <w:tcW w:w="710" w:type="dxa"/>
            <w:vMerge w:val="continue"/>
            <w:tcBorders>
              <w:top w:val="single" w:color="auto" w:sz="4" w:space="0"/>
              <w:left w:val="single" w:color="auto" w:sz="4" w:space="0"/>
              <w:bottom w:val="single" w:color="auto" w:sz="4" w:space="0"/>
              <w:right w:val="single" w:color="auto" w:sz="4" w:space="0"/>
            </w:tcBorders>
            <w:vAlign w:val="center"/>
          </w:tcPr>
          <w:p w14:paraId="5134BE81">
            <w:pPr>
              <w:widowControl/>
              <w:rPr>
                <w:rFonts w:ascii="Times New Roman" w:hAnsi="Times New Roman" w:eastAsia="宋体" w:cs="Times New Roman"/>
                <w:b/>
                <w:bCs/>
                <w:sz w:val="22"/>
                <w:szCs w:val="22"/>
              </w:rPr>
            </w:pPr>
          </w:p>
        </w:tc>
        <w:tc>
          <w:tcPr>
            <w:tcW w:w="3701" w:type="dxa"/>
            <w:vMerge w:val="continue"/>
            <w:tcBorders>
              <w:top w:val="single" w:color="auto" w:sz="4" w:space="0"/>
              <w:left w:val="single" w:color="auto" w:sz="4" w:space="0"/>
              <w:bottom w:val="single" w:color="auto" w:sz="4" w:space="0"/>
              <w:right w:val="single" w:color="auto" w:sz="4" w:space="0"/>
            </w:tcBorders>
            <w:vAlign w:val="center"/>
          </w:tcPr>
          <w:p w14:paraId="6F7D2903">
            <w:pPr>
              <w:widowControl/>
              <w:rPr>
                <w:rFonts w:ascii="Times New Roman" w:hAnsi="Times New Roman" w:eastAsia="宋体" w:cs="Times New Roman"/>
                <w:b/>
                <w:bCs/>
                <w:sz w:val="22"/>
                <w:szCs w:val="22"/>
              </w:rPr>
            </w:pPr>
          </w:p>
        </w:tc>
        <w:tc>
          <w:tcPr>
            <w:tcW w:w="4523" w:type="dxa"/>
            <w:vMerge w:val="continue"/>
            <w:tcBorders>
              <w:top w:val="single" w:color="auto" w:sz="4" w:space="0"/>
              <w:left w:val="single" w:color="auto" w:sz="4" w:space="0"/>
              <w:bottom w:val="single" w:color="auto" w:sz="4" w:space="0"/>
              <w:right w:val="single" w:color="auto" w:sz="4" w:space="0"/>
            </w:tcBorders>
            <w:vAlign w:val="center"/>
          </w:tcPr>
          <w:p w14:paraId="2F9B433D">
            <w:pPr>
              <w:widowControl/>
              <w:rPr>
                <w:rFonts w:ascii="Times New Roman" w:hAnsi="Times New Roman" w:eastAsia="宋体" w:cs="Times New Roman"/>
                <w:b/>
                <w:bCs/>
                <w:sz w:val="22"/>
                <w:szCs w:val="22"/>
              </w:rPr>
            </w:pPr>
          </w:p>
        </w:tc>
        <w:tc>
          <w:tcPr>
            <w:tcW w:w="2110" w:type="dxa"/>
            <w:vMerge w:val="continue"/>
            <w:tcBorders>
              <w:top w:val="single" w:color="auto" w:sz="4" w:space="0"/>
              <w:left w:val="single" w:color="auto" w:sz="4" w:space="0"/>
              <w:bottom w:val="single" w:color="auto" w:sz="4" w:space="0"/>
              <w:right w:val="single" w:color="auto" w:sz="4" w:space="0"/>
            </w:tcBorders>
            <w:vAlign w:val="center"/>
          </w:tcPr>
          <w:p w14:paraId="726F4B68">
            <w:pPr>
              <w:widowControl/>
              <w:rPr>
                <w:rFonts w:ascii="Times New Roman" w:hAnsi="Times New Roman" w:eastAsia="宋体" w:cs="Times New Roman"/>
                <w:b/>
                <w:bCs/>
                <w:sz w:val="22"/>
                <w:szCs w:val="22"/>
              </w:rPr>
            </w:pPr>
          </w:p>
        </w:tc>
        <w:tc>
          <w:tcPr>
            <w:tcW w:w="1129" w:type="dxa"/>
            <w:vMerge w:val="continue"/>
            <w:tcBorders>
              <w:top w:val="single" w:color="auto" w:sz="4" w:space="0"/>
              <w:left w:val="single" w:color="auto" w:sz="4" w:space="0"/>
              <w:bottom w:val="single" w:color="auto" w:sz="4" w:space="0"/>
              <w:right w:val="single" w:color="auto" w:sz="4" w:space="0"/>
            </w:tcBorders>
            <w:vAlign w:val="center"/>
          </w:tcPr>
          <w:p w14:paraId="32ACC33A">
            <w:pPr>
              <w:widowControl/>
              <w:rPr>
                <w:rFonts w:ascii="Times New Roman" w:hAnsi="Times New Roman" w:eastAsia="宋体" w:cs="Times New Roman"/>
                <w:b/>
                <w:bCs/>
                <w:sz w:val="22"/>
                <w:szCs w:val="22"/>
              </w:rPr>
            </w:pPr>
          </w:p>
        </w:tc>
        <w:tc>
          <w:tcPr>
            <w:tcW w:w="2041" w:type="dxa"/>
            <w:vMerge w:val="continue"/>
            <w:tcBorders>
              <w:top w:val="single" w:color="auto" w:sz="4" w:space="0"/>
              <w:left w:val="single" w:color="auto" w:sz="4" w:space="0"/>
              <w:bottom w:val="single" w:color="auto" w:sz="4" w:space="0"/>
              <w:right w:val="single" w:color="auto" w:sz="4" w:space="0"/>
            </w:tcBorders>
            <w:vAlign w:val="center"/>
          </w:tcPr>
          <w:p w14:paraId="28CA5805">
            <w:pPr>
              <w:widowControl/>
              <w:rPr>
                <w:rFonts w:ascii="Times New Roman" w:hAnsi="Times New Roman" w:eastAsia="宋体" w:cs="Times New Roman"/>
                <w:b/>
                <w:bCs/>
                <w:sz w:val="22"/>
                <w:szCs w:val="22"/>
              </w:rPr>
            </w:pPr>
          </w:p>
        </w:tc>
      </w:tr>
      <w:tr w14:paraId="3FB61F72">
        <w:tblPrEx>
          <w:tblCellMar>
            <w:top w:w="0" w:type="dxa"/>
            <w:left w:w="108" w:type="dxa"/>
            <w:bottom w:w="0" w:type="dxa"/>
            <w:right w:w="108" w:type="dxa"/>
          </w:tblCellMar>
        </w:tblPrEx>
        <w:trPr>
          <w:cantSplit/>
          <w:trHeight w:val="342" w:hRule="atLeast"/>
        </w:trPr>
        <w:tc>
          <w:tcPr>
            <w:tcW w:w="710" w:type="dxa"/>
            <w:tcBorders>
              <w:top w:val="nil"/>
              <w:left w:val="single" w:color="auto" w:sz="4" w:space="0"/>
              <w:bottom w:val="single" w:color="auto" w:sz="4" w:space="0"/>
              <w:right w:val="single" w:color="auto" w:sz="4" w:space="0"/>
            </w:tcBorders>
            <w:vAlign w:val="center"/>
          </w:tcPr>
          <w:p w14:paraId="048CD840">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宋体" w:cs="Times New Roman"/>
                <w:sz w:val="20"/>
                <w:szCs w:val="20"/>
                <w:lang w:bidi="ar"/>
              </w:rPr>
              <w:t>1</w:t>
            </w:r>
          </w:p>
        </w:tc>
        <w:tc>
          <w:tcPr>
            <w:tcW w:w="3701" w:type="dxa"/>
            <w:tcBorders>
              <w:top w:val="nil"/>
              <w:left w:val="nil"/>
              <w:bottom w:val="single" w:color="auto" w:sz="4" w:space="0"/>
              <w:right w:val="single" w:color="auto" w:sz="4" w:space="0"/>
            </w:tcBorders>
            <w:vAlign w:val="center"/>
          </w:tcPr>
          <w:p w14:paraId="2A50D27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4523" w:type="dxa"/>
            <w:tcBorders>
              <w:top w:val="nil"/>
              <w:left w:val="single" w:color="auto" w:sz="4" w:space="0"/>
              <w:bottom w:val="single" w:color="auto" w:sz="4" w:space="0"/>
              <w:right w:val="single" w:color="auto" w:sz="4" w:space="0"/>
            </w:tcBorders>
            <w:vAlign w:val="center"/>
          </w:tcPr>
          <w:p w14:paraId="79A6D015">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MZD-1200/500Q</w:t>
            </w:r>
          </w:p>
        </w:tc>
        <w:tc>
          <w:tcPr>
            <w:tcW w:w="2110" w:type="dxa"/>
            <w:tcBorders>
              <w:top w:val="nil"/>
              <w:left w:val="nil"/>
              <w:bottom w:val="single" w:color="auto" w:sz="4" w:space="0"/>
              <w:right w:val="single" w:color="auto" w:sz="4" w:space="0"/>
            </w:tcBorders>
            <w:vAlign w:val="center"/>
          </w:tcPr>
          <w:p w14:paraId="0F899FF5">
            <w:pPr>
              <w:widowControl/>
              <w:jc w:val="center"/>
              <w:textAlignment w:val="center"/>
              <w:rPr>
                <w:rFonts w:ascii="Times New Roman" w:hAnsi="Times New Roman" w:eastAsia="宋体" w:cs="Times New Roman"/>
                <w:sz w:val="20"/>
                <w:szCs w:val="20"/>
              </w:rPr>
            </w:pPr>
          </w:p>
        </w:tc>
        <w:tc>
          <w:tcPr>
            <w:tcW w:w="1129" w:type="dxa"/>
            <w:tcBorders>
              <w:top w:val="nil"/>
              <w:left w:val="nil"/>
              <w:bottom w:val="single" w:color="auto" w:sz="4" w:space="0"/>
              <w:right w:val="single" w:color="auto" w:sz="4" w:space="0"/>
            </w:tcBorders>
            <w:vAlign w:val="center"/>
          </w:tcPr>
          <w:p w14:paraId="2DCA23E4">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Set</w:t>
            </w:r>
          </w:p>
        </w:tc>
        <w:tc>
          <w:tcPr>
            <w:tcW w:w="2041" w:type="dxa"/>
            <w:tcBorders>
              <w:top w:val="nil"/>
              <w:left w:val="nil"/>
              <w:bottom w:val="single" w:color="auto" w:sz="4" w:space="0"/>
              <w:right w:val="single" w:color="auto" w:sz="4" w:space="0"/>
            </w:tcBorders>
            <w:noWrap/>
            <w:vAlign w:val="center"/>
          </w:tcPr>
          <w:p w14:paraId="3ECFA9E9">
            <w:pPr>
              <w:widowControl/>
              <w:jc w:val="center"/>
              <w:textAlignment w:val="center"/>
              <w:rPr>
                <w:rFonts w:ascii="Times New Roman" w:hAnsi="Times New Roman" w:eastAsia="宋体" w:cs="Times New Roman"/>
                <w:sz w:val="20"/>
                <w:szCs w:val="20"/>
              </w:rPr>
            </w:pPr>
          </w:p>
        </w:tc>
      </w:tr>
      <w:tr w14:paraId="2112F54A">
        <w:tblPrEx>
          <w:tblCellMar>
            <w:top w:w="0" w:type="dxa"/>
            <w:left w:w="108" w:type="dxa"/>
            <w:bottom w:w="0" w:type="dxa"/>
            <w:right w:w="108" w:type="dxa"/>
          </w:tblCellMar>
        </w:tblPrEx>
        <w:trPr>
          <w:cantSplit/>
          <w:trHeight w:val="342" w:hRule="atLeast"/>
        </w:trPr>
        <w:tc>
          <w:tcPr>
            <w:tcW w:w="710" w:type="dxa"/>
            <w:tcBorders>
              <w:top w:val="nil"/>
              <w:left w:val="single" w:color="auto" w:sz="4" w:space="0"/>
              <w:bottom w:val="single" w:color="auto" w:sz="4" w:space="0"/>
              <w:right w:val="single" w:color="auto" w:sz="4" w:space="0"/>
            </w:tcBorders>
            <w:vAlign w:val="center"/>
          </w:tcPr>
          <w:p w14:paraId="48E11D0C">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宋体" w:cs="Times New Roman"/>
                <w:sz w:val="20"/>
                <w:szCs w:val="20"/>
                <w:lang w:bidi="ar"/>
              </w:rPr>
              <w:t>2</w:t>
            </w:r>
          </w:p>
        </w:tc>
        <w:tc>
          <w:tcPr>
            <w:tcW w:w="3701" w:type="dxa"/>
            <w:tcBorders>
              <w:top w:val="nil"/>
              <w:left w:val="nil"/>
              <w:bottom w:val="single" w:color="auto" w:sz="4" w:space="0"/>
              <w:right w:val="single" w:color="auto" w:sz="4" w:space="0"/>
            </w:tcBorders>
            <w:vAlign w:val="center"/>
          </w:tcPr>
          <w:p w14:paraId="7F243DE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4523" w:type="dxa"/>
            <w:tcBorders>
              <w:top w:val="nil"/>
              <w:left w:val="single" w:color="auto" w:sz="4" w:space="0"/>
              <w:bottom w:val="single" w:color="auto" w:sz="4" w:space="0"/>
              <w:right w:val="single" w:color="auto" w:sz="4" w:space="0"/>
            </w:tcBorders>
            <w:vAlign w:val="center"/>
          </w:tcPr>
          <w:p w14:paraId="2C66EFDA">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MZD-1200/500Q</w:t>
            </w:r>
          </w:p>
        </w:tc>
        <w:tc>
          <w:tcPr>
            <w:tcW w:w="2110" w:type="dxa"/>
            <w:tcBorders>
              <w:top w:val="nil"/>
              <w:left w:val="nil"/>
              <w:bottom w:val="single" w:color="auto" w:sz="4" w:space="0"/>
              <w:right w:val="single" w:color="auto" w:sz="4" w:space="0"/>
            </w:tcBorders>
            <w:vAlign w:val="center"/>
          </w:tcPr>
          <w:p w14:paraId="040C55A4">
            <w:pPr>
              <w:widowControl/>
              <w:jc w:val="center"/>
              <w:textAlignment w:val="center"/>
              <w:rPr>
                <w:rFonts w:ascii="Times New Roman" w:hAnsi="Times New Roman" w:eastAsia="宋体" w:cs="Times New Roman"/>
                <w:sz w:val="20"/>
                <w:szCs w:val="20"/>
              </w:rPr>
            </w:pPr>
          </w:p>
        </w:tc>
        <w:tc>
          <w:tcPr>
            <w:tcW w:w="1129" w:type="dxa"/>
            <w:tcBorders>
              <w:top w:val="nil"/>
              <w:left w:val="nil"/>
              <w:bottom w:val="single" w:color="auto" w:sz="4" w:space="0"/>
              <w:right w:val="single" w:color="auto" w:sz="4" w:space="0"/>
            </w:tcBorders>
            <w:vAlign w:val="center"/>
          </w:tcPr>
          <w:p w14:paraId="683E2714">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Set</w:t>
            </w:r>
          </w:p>
        </w:tc>
        <w:tc>
          <w:tcPr>
            <w:tcW w:w="2041" w:type="dxa"/>
            <w:tcBorders>
              <w:top w:val="nil"/>
              <w:left w:val="nil"/>
              <w:bottom w:val="single" w:color="auto" w:sz="4" w:space="0"/>
              <w:right w:val="single" w:color="auto" w:sz="4" w:space="0"/>
            </w:tcBorders>
            <w:noWrap/>
            <w:vAlign w:val="center"/>
          </w:tcPr>
          <w:p w14:paraId="336E1471">
            <w:pPr>
              <w:widowControl/>
              <w:jc w:val="center"/>
              <w:textAlignment w:val="center"/>
              <w:rPr>
                <w:rFonts w:ascii="Times New Roman" w:hAnsi="Times New Roman" w:eastAsia="宋体" w:cs="Times New Roman"/>
                <w:sz w:val="20"/>
                <w:szCs w:val="20"/>
              </w:rPr>
            </w:pPr>
          </w:p>
        </w:tc>
      </w:tr>
      <w:tr w14:paraId="18728012">
        <w:tblPrEx>
          <w:tblCellMar>
            <w:top w:w="0" w:type="dxa"/>
            <w:left w:w="108" w:type="dxa"/>
            <w:bottom w:w="0" w:type="dxa"/>
            <w:right w:w="108" w:type="dxa"/>
          </w:tblCellMar>
        </w:tblPrEx>
        <w:trPr>
          <w:cantSplit/>
          <w:trHeight w:val="342" w:hRule="atLeast"/>
        </w:trPr>
        <w:tc>
          <w:tcPr>
            <w:tcW w:w="710" w:type="dxa"/>
            <w:tcBorders>
              <w:top w:val="nil"/>
              <w:left w:val="single" w:color="auto" w:sz="4" w:space="0"/>
              <w:bottom w:val="single" w:color="auto" w:sz="4" w:space="0"/>
              <w:right w:val="single" w:color="auto" w:sz="4" w:space="0"/>
            </w:tcBorders>
            <w:vAlign w:val="center"/>
          </w:tcPr>
          <w:p w14:paraId="6F58E13C">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宋体" w:cs="Times New Roman"/>
                <w:sz w:val="20"/>
                <w:szCs w:val="20"/>
                <w:lang w:bidi="ar"/>
              </w:rPr>
              <w:t>3</w:t>
            </w:r>
          </w:p>
        </w:tc>
        <w:tc>
          <w:tcPr>
            <w:tcW w:w="3701" w:type="dxa"/>
            <w:tcBorders>
              <w:top w:val="nil"/>
              <w:left w:val="nil"/>
              <w:bottom w:val="single" w:color="auto" w:sz="4" w:space="0"/>
              <w:right w:val="single" w:color="auto" w:sz="4" w:space="0"/>
            </w:tcBorders>
            <w:vAlign w:val="center"/>
          </w:tcPr>
          <w:p w14:paraId="3FC5B455">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4523" w:type="dxa"/>
            <w:tcBorders>
              <w:top w:val="nil"/>
              <w:left w:val="single" w:color="auto" w:sz="4" w:space="0"/>
              <w:bottom w:val="single" w:color="auto" w:sz="4" w:space="0"/>
              <w:right w:val="single" w:color="auto" w:sz="4" w:space="0"/>
            </w:tcBorders>
            <w:vAlign w:val="center"/>
          </w:tcPr>
          <w:p w14:paraId="1EA3EC5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MZD-1200/350C</w:t>
            </w:r>
          </w:p>
        </w:tc>
        <w:tc>
          <w:tcPr>
            <w:tcW w:w="2110" w:type="dxa"/>
            <w:tcBorders>
              <w:top w:val="nil"/>
              <w:left w:val="nil"/>
              <w:bottom w:val="single" w:color="auto" w:sz="4" w:space="0"/>
              <w:right w:val="single" w:color="auto" w:sz="4" w:space="0"/>
            </w:tcBorders>
            <w:vAlign w:val="center"/>
          </w:tcPr>
          <w:p w14:paraId="11AE4F59">
            <w:pPr>
              <w:widowControl/>
              <w:jc w:val="center"/>
              <w:textAlignment w:val="center"/>
              <w:rPr>
                <w:rFonts w:ascii="Times New Roman" w:hAnsi="Times New Roman" w:eastAsia="宋体" w:cs="Times New Roman"/>
                <w:sz w:val="20"/>
                <w:szCs w:val="20"/>
              </w:rPr>
            </w:pPr>
          </w:p>
        </w:tc>
        <w:tc>
          <w:tcPr>
            <w:tcW w:w="1129" w:type="dxa"/>
            <w:tcBorders>
              <w:top w:val="nil"/>
              <w:left w:val="nil"/>
              <w:bottom w:val="single" w:color="auto" w:sz="4" w:space="0"/>
              <w:right w:val="single" w:color="auto" w:sz="4" w:space="0"/>
            </w:tcBorders>
            <w:vAlign w:val="center"/>
          </w:tcPr>
          <w:p w14:paraId="6726D455">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Set</w:t>
            </w:r>
          </w:p>
        </w:tc>
        <w:tc>
          <w:tcPr>
            <w:tcW w:w="2041" w:type="dxa"/>
            <w:tcBorders>
              <w:top w:val="nil"/>
              <w:left w:val="nil"/>
              <w:bottom w:val="single" w:color="auto" w:sz="4" w:space="0"/>
              <w:right w:val="single" w:color="auto" w:sz="4" w:space="0"/>
            </w:tcBorders>
            <w:noWrap/>
            <w:vAlign w:val="center"/>
          </w:tcPr>
          <w:p w14:paraId="57ACBA43">
            <w:pPr>
              <w:widowControl/>
              <w:jc w:val="center"/>
              <w:textAlignment w:val="center"/>
              <w:rPr>
                <w:rFonts w:ascii="Times New Roman" w:hAnsi="Times New Roman" w:eastAsia="宋体" w:cs="Times New Roman"/>
                <w:sz w:val="20"/>
                <w:szCs w:val="20"/>
              </w:rPr>
            </w:pPr>
          </w:p>
        </w:tc>
      </w:tr>
      <w:tr w14:paraId="62DF4ACE">
        <w:tblPrEx>
          <w:tblCellMar>
            <w:top w:w="0" w:type="dxa"/>
            <w:left w:w="108" w:type="dxa"/>
            <w:bottom w:w="0" w:type="dxa"/>
            <w:right w:w="108" w:type="dxa"/>
          </w:tblCellMar>
        </w:tblPrEx>
        <w:trPr>
          <w:cantSplit/>
          <w:trHeight w:val="342" w:hRule="atLeast"/>
        </w:trPr>
        <w:tc>
          <w:tcPr>
            <w:tcW w:w="710" w:type="dxa"/>
            <w:tcBorders>
              <w:top w:val="nil"/>
              <w:left w:val="single" w:color="auto" w:sz="4" w:space="0"/>
              <w:bottom w:val="single" w:color="auto" w:sz="4" w:space="0"/>
              <w:right w:val="single" w:color="auto" w:sz="4" w:space="0"/>
            </w:tcBorders>
            <w:vAlign w:val="center"/>
          </w:tcPr>
          <w:p w14:paraId="7BA8034F">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宋体" w:cs="Times New Roman"/>
                <w:sz w:val="20"/>
                <w:szCs w:val="20"/>
                <w:lang w:bidi="ar"/>
              </w:rPr>
              <w:t>4</w:t>
            </w:r>
          </w:p>
        </w:tc>
        <w:tc>
          <w:tcPr>
            <w:tcW w:w="3701" w:type="dxa"/>
            <w:tcBorders>
              <w:top w:val="nil"/>
              <w:left w:val="nil"/>
              <w:bottom w:val="single" w:color="auto" w:sz="4" w:space="0"/>
              <w:right w:val="single" w:color="auto" w:sz="4" w:space="0"/>
            </w:tcBorders>
            <w:vAlign w:val="center"/>
          </w:tcPr>
          <w:p w14:paraId="7793E68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4523" w:type="dxa"/>
            <w:tcBorders>
              <w:top w:val="nil"/>
              <w:left w:val="single" w:color="auto" w:sz="4" w:space="0"/>
              <w:bottom w:val="single" w:color="auto" w:sz="4" w:space="0"/>
              <w:right w:val="single" w:color="auto" w:sz="4" w:space="0"/>
            </w:tcBorders>
            <w:vAlign w:val="center"/>
          </w:tcPr>
          <w:p w14:paraId="0000D558">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MZD-1200/350C</w:t>
            </w:r>
          </w:p>
        </w:tc>
        <w:tc>
          <w:tcPr>
            <w:tcW w:w="2110" w:type="dxa"/>
            <w:tcBorders>
              <w:top w:val="nil"/>
              <w:left w:val="nil"/>
              <w:bottom w:val="single" w:color="auto" w:sz="4" w:space="0"/>
              <w:right w:val="single" w:color="auto" w:sz="4" w:space="0"/>
            </w:tcBorders>
            <w:vAlign w:val="center"/>
          </w:tcPr>
          <w:p w14:paraId="3B0538E8">
            <w:pPr>
              <w:widowControl/>
              <w:jc w:val="center"/>
              <w:textAlignment w:val="center"/>
              <w:rPr>
                <w:rFonts w:ascii="Times New Roman" w:hAnsi="Times New Roman" w:eastAsia="宋体" w:cs="Times New Roman"/>
                <w:sz w:val="20"/>
                <w:szCs w:val="20"/>
              </w:rPr>
            </w:pPr>
          </w:p>
        </w:tc>
        <w:tc>
          <w:tcPr>
            <w:tcW w:w="1129" w:type="dxa"/>
            <w:tcBorders>
              <w:top w:val="nil"/>
              <w:left w:val="nil"/>
              <w:bottom w:val="single" w:color="auto" w:sz="4" w:space="0"/>
              <w:right w:val="single" w:color="auto" w:sz="4" w:space="0"/>
            </w:tcBorders>
            <w:vAlign w:val="center"/>
          </w:tcPr>
          <w:p w14:paraId="5264EF0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Set</w:t>
            </w:r>
          </w:p>
        </w:tc>
        <w:tc>
          <w:tcPr>
            <w:tcW w:w="2041" w:type="dxa"/>
            <w:tcBorders>
              <w:top w:val="nil"/>
              <w:left w:val="nil"/>
              <w:bottom w:val="single" w:color="auto" w:sz="4" w:space="0"/>
              <w:right w:val="single" w:color="auto" w:sz="4" w:space="0"/>
            </w:tcBorders>
            <w:noWrap/>
            <w:vAlign w:val="center"/>
          </w:tcPr>
          <w:p w14:paraId="0531CF03">
            <w:pPr>
              <w:widowControl/>
              <w:jc w:val="center"/>
              <w:textAlignment w:val="center"/>
              <w:rPr>
                <w:rFonts w:ascii="Times New Roman" w:hAnsi="Times New Roman" w:eastAsia="宋体" w:cs="Times New Roman"/>
                <w:sz w:val="20"/>
                <w:szCs w:val="20"/>
              </w:rPr>
            </w:pPr>
          </w:p>
        </w:tc>
      </w:tr>
      <w:tr w14:paraId="21563374">
        <w:tblPrEx>
          <w:tblCellMar>
            <w:top w:w="0" w:type="dxa"/>
            <w:left w:w="108" w:type="dxa"/>
            <w:bottom w:w="0" w:type="dxa"/>
            <w:right w:w="108" w:type="dxa"/>
          </w:tblCellMar>
        </w:tblPrEx>
        <w:trPr>
          <w:cantSplit/>
          <w:trHeight w:val="342" w:hRule="atLeast"/>
        </w:trPr>
        <w:tc>
          <w:tcPr>
            <w:tcW w:w="710" w:type="dxa"/>
            <w:tcBorders>
              <w:top w:val="nil"/>
              <w:left w:val="single" w:color="auto" w:sz="4" w:space="0"/>
              <w:bottom w:val="single" w:color="auto" w:sz="4" w:space="0"/>
              <w:right w:val="single" w:color="auto" w:sz="4" w:space="0"/>
            </w:tcBorders>
            <w:vAlign w:val="center"/>
          </w:tcPr>
          <w:p w14:paraId="2B459AD4">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宋体" w:cs="Times New Roman"/>
                <w:sz w:val="20"/>
                <w:szCs w:val="20"/>
                <w:lang w:bidi="ar"/>
              </w:rPr>
              <w:t>5</w:t>
            </w:r>
          </w:p>
        </w:tc>
        <w:tc>
          <w:tcPr>
            <w:tcW w:w="3701" w:type="dxa"/>
            <w:tcBorders>
              <w:top w:val="nil"/>
              <w:left w:val="nil"/>
              <w:bottom w:val="single" w:color="auto" w:sz="4" w:space="0"/>
              <w:right w:val="single" w:color="auto" w:sz="4" w:space="0"/>
            </w:tcBorders>
            <w:vAlign w:val="center"/>
          </w:tcPr>
          <w:p w14:paraId="28517043">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4523" w:type="dxa"/>
            <w:tcBorders>
              <w:top w:val="nil"/>
              <w:left w:val="single" w:color="auto" w:sz="4" w:space="0"/>
              <w:bottom w:val="single" w:color="auto" w:sz="4" w:space="0"/>
              <w:right w:val="single" w:color="auto" w:sz="4" w:space="0"/>
            </w:tcBorders>
            <w:vAlign w:val="center"/>
          </w:tcPr>
          <w:p w14:paraId="574C8B7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MZD-1000/500Q</w:t>
            </w:r>
          </w:p>
        </w:tc>
        <w:tc>
          <w:tcPr>
            <w:tcW w:w="2110" w:type="dxa"/>
            <w:tcBorders>
              <w:top w:val="nil"/>
              <w:left w:val="nil"/>
              <w:bottom w:val="single" w:color="auto" w:sz="4" w:space="0"/>
              <w:right w:val="single" w:color="auto" w:sz="4" w:space="0"/>
            </w:tcBorders>
            <w:vAlign w:val="center"/>
          </w:tcPr>
          <w:p w14:paraId="2E900963">
            <w:pPr>
              <w:widowControl/>
              <w:jc w:val="center"/>
              <w:textAlignment w:val="center"/>
              <w:rPr>
                <w:rFonts w:ascii="Times New Roman" w:hAnsi="Times New Roman" w:eastAsia="宋体" w:cs="Times New Roman"/>
                <w:sz w:val="20"/>
                <w:szCs w:val="20"/>
              </w:rPr>
            </w:pPr>
          </w:p>
        </w:tc>
        <w:tc>
          <w:tcPr>
            <w:tcW w:w="1129" w:type="dxa"/>
            <w:tcBorders>
              <w:top w:val="nil"/>
              <w:left w:val="nil"/>
              <w:bottom w:val="single" w:color="auto" w:sz="4" w:space="0"/>
              <w:right w:val="single" w:color="auto" w:sz="4" w:space="0"/>
            </w:tcBorders>
            <w:vAlign w:val="center"/>
          </w:tcPr>
          <w:p w14:paraId="66C4DFA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Set</w:t>
            </w:r>
          </w:p>
        </w:tc>
        <w:tc>
          <w:tcPr>
            <w:tcW w:w="2041" w:type="dxa"/>
            <w:tcBorders>
              <w:top w:val="nil"/>
              <w:left w:val="nil"/>
              <w:bottom w:val="single" w:color="auto" w:sz="4" w:space="0"/>
              <w:right w:val="single" w:color="auto" w:sz="4" w:space="0"/>
            </w:tcBorders>
            <w:noWrap/>
            <w:vAlign w:val="center"/>
          </w:tcPr>
          <w:p w14:paraId="29C5B8FB">
            <w:pPr>
              <w:widowControl/>
              <w:jc w:val="center"/>
              <w:textAlignment w:val="center"/>
              <w:rPr>
                <w:rFonts w:ascii="Times New Roman" w:hAnsi="Times New Roman" w:eastAsia="宋体" w:cs="Times New Roman"/>
                <w:sz w:val="20"/>
                <w:szCs w:val="20"/>
              </w:rPr>
            </w:pPr>
          </w:p>
        </w:tc>
      </w:tr>
      <w:tr w14:paraId="3F65FD51">
        <w:tblPrEx>
          <w:tblCellMar>
            <w:top w:w="0" w:type="dxa"/>
            <w:left w:w="108" w:type="dxa"/>
            <w:bottom w:w="0" w:type="dxa"/>
            <w:right w:w="108" w:type="dxa"/>
          </w:tblCellMar>
        </w:tblPrEx>
        <w:trPr>
          <w:cantSplit/>
          <w:trHeight w:val="342" w:hRule="atLeast"/>
        </w:trPr>
        <w:tc>
          <w:tcPr>
            <w:tcW w:w="710" w:type="dxa"/>
            <w:tcBorders>
              <w:top w:val="nil"/>
              <w:left w:val="single" w:color="auto" w:sz="4" w:space="0"/>
              <w:bottom w:val="single" w:color="auto" w:sz="4" w:space="0"/>
              <w:right w:val="single" w:color="auto" w:sz="4" w:space="0"/>
            </w:tcBorders>
            <w:vAlign w:val="center"/>
          </w:tcPr>
          <w:p w14:paraId="03009A73">
            <w:pPr>
              <w:widowControl/>
              <w:jc w:val="center"/>
              <w:textAlignment w:val="center"/>
              <w:rPr>
                <w:rFonts w:ascii="Times New Roman" w:hAnsi="Times New Roman" w:eastAsia="宋体" w:cs="Times New Roman"/>
                <w:sz w:val="20"/>
                <w:szCs w:val="20"/>
                <w:lang w:bidi="ar"/>
              </w:rPr>
            </w:pPr>
            <w:r>
              <w:rPr>
                <w:rFonts w:ascii="Times New Roman" w:hAnsi="Times New Roman" w:eastAsia="宋体" w:cs="Times New Roman"/>
                <w:sz w:val="20"/>
                <w:szCs w:val="20"/>
                <w:lang w:bidi="ar"/>
              </w:rPr>
              <w:t>6</w:t>
            </w:r>
          </w:p>
        </w:tc>
        <w:tc>
          <w:tcPr>
            <w:tcW w:w="3701" w:type="dxa"/>
            <w:tcBorders>
              <w:top w:val="nil"/>
              <w:left w:val="nil"/>
              <w:bottom w:val="single" w:color="auto" w:sz="4" w:space="0"/>
              <w:right w:val="single" w:color="auto" w:sz="4" w:space="0"/>
            </w:tcBorders>
            <w:vAlign w:val="center"/>
          </w:tcPr>
          <w:p w14:paraId="4931CED2">
            <w:pPr>
              <w:widowControl/>
              <w:jc w:val="center"/>
              <w:textAlignment w:val="center"/>
              <w:rPr>
                <w:rFonts w:ascii="Times New Roman" w:hAnsi="Times New Roman" w:eastAsia="宋体" w:cs="Times New Roman"/>
                <w:sz w:val="20"/>
                <w:szCs w:val="20"/>
                <w:lang w:bidi="ar"/>
              </w:rPr>
            </w:pPr>
            <w:r>
              <w:rPr>
                <w:rFonts w:ascii="Times New Roman" w:hAnsi="Times New Roman" w:eastAsia="宋体" w:cs="Times New Roman"/>
                <w:sz w:val="20"/>
                <w:szCs w:val="20"/>
                <w:lang w:bidi="ar"/>
              </w:rPr>
              <w:t>Membrane Tube Frame</w:t>
            </w:r>
          </w:p>
        </w:tc>
        <w:tc>
          <w:tcPr>
            <w:tcW w:w="4523" w:type="dxa"/>
            <w:tcBorders>
              <w:top w:val="nil"/>
              <w:left w:val="single" w:color="auto" w:sz="4" w:space="0"/>
              <w:bottom w:val="single" w:color="auto" w:sz="4" w:space="0"/>
              <w:right w:val="single" w:color="auto" w:sz="4" w:space="0"/>
            </w:tcBorders>
            <w:vAlign w:val="center"/>
          </w:tcPr>
          <w:p w14:paraId="16D82C1B">
            <w:pPr>
              <w:widowControl/>
              <w:jc w:val="center"/>
              <w:textAlignment w:val="center"/>
              <w:rPr>
                <w:rFonts w:ascii="Times New Roman" w:hAnsi="Times New Roman" w:eastAsia="宋体" w:cs="Times New Roman"/>
                <w:sz w:val="20"/>
                <w:szCs w:val="20"/>
                <w:lang w:bidi="ar"/>
              </w:rPr>
            </w:pPr>
            <w:r>
              <w:rPr>
                <w:rFonts w:ascii="Times New Roman" w:hAnsi="Times New Roman" w:eastAsia="宋体" w:cs="Times New Roman"/>
                <w:sz w:val="20"/>
                <w:szCs w:val="20"/>
                <w:lang w:bidi="ar"/>
              </w:rPr>
              <w:t>MZD-1000/500Q</w:t>
            </w:r>
          </w:p>
        </w:tc>
        <w:tc>
          <w:tcPr>
            <w:tcW w:w="2110" w:type="dxa"/>
            <w:tcBorders>
              <w:top w:val="nil"/>
              <w:left w:val="nil"/>
              <w:bottom w:val="single" w:color="auto" w:sz="4" w:space="0"/>
              <w:right w:val="single" w:color="auto" w:sz="4" w:space="0"/>
            </w:tcBorders>
            <w:vAlign w:val="center"/>
          </w:tcPr>
          <w:p w14:paraId="7E20BBCE">
            <w:pPr>
              <w:widowControl/>
              <w:jc w:val="center"/>
              <w:textAlignment w:val="center"/>
              <w:rPr>
                <w:rFonts w:ascii="Times New Roman" w:hAnsi="Times New Roman" w:eastAsia="宋体" w:cs="Times New Roman"/>
                <w:sz w:val="20"/>
                <w:szCs w:val="20"/>
                <w:lang w:bidi="ar"/>
              </w:rPr>
            </w:pPr>
          </w:p>
        </w:tc>
        <w:tc>
          <w:tcPr>
            <w:tcW w:w="1129" w:type="dxa"/>
            <w:tcBorders>
              <w:top w:val="nil"/>
              <w:left w:val="nil"/>
              <w:bottom w:val="single" w:color="auto" w:sz="4" w:space="0"/>
              <w:right w:val="single" w:color="auto" w:sz="4" w:space="0"/>
            </w:tcBorders>
            <w:vAlign w:val="center"/>
          </w:tcPr>
          <w:p w14:paraId="48D1D049">
            <w:pPr>
              <w:widowControl/>
              <w:jc w:val="center"/>
              <w:textAlignment w:val="center"/>
              <w:rPr>
                <w:rFonts w:ascii="Times New Roman" w:hAnsi="Times New Roman" w:eastAsia="宋体" w:cs="Times New Roman"/>
                <w:sz w:val="20"/>
                <w:szCs w:val="20"/>
                <w:lang w:bidi="ar"/>
              </w:rPr>
            </w:pPr>
            <w:r>
              <w:rPr>
                <w:rFonts w:ascii="Times New Roman" w:hAnsi="Times New Roman" w:eastAsia="宋体" w:cs="Times New Roman"/>
                <w:sz w:val="20"/>
                <w:szCs w:val="20"/>
                <w:lang w:bidi="ar"/>
              </w:rPr>
              <w:t>Set</w:t>
            </w:r>
          </w:p>
        </w:tc>
        <w:tc>
          <w:tcPr>
            <w:tcW w:w="2041" w:type="dxa"/>
            <w:tcBorders>
              <w:top w:val="nil"/>
              <w:left w:val="nil"/>
              <w:bottom w:val="single" w:color="auto" w:sz="4" w:space="0"/>
              <w:right w:val="single" w:color="auto" w:sz="4" w:space="0"/>
            </w:tcBorders>
            <w:noWrap/>
            <w:vAlign w:val="center"/>
          </w:tcPr>
          <w:p w14:paraId="34306380">
            <w:pPr>
              <w:widowControl/>
              <w:jc w:val="center"/>
              <w:textAlignment w:val="center"/>
              <w:rPr>
                <w:rFonts w:ascii="Times New Roman" w:hAnsi="Times New Roman" w:eastAsia="宋体" w:cs="Times New Roman"/>
                <w:sz w:val="20"/>
                <w:szCs w:val="20"/>
                <w:lang w:bidi="ar"/>
              </w:rPr>
            </w:pPr>
          </w:p>
        </w:tc>
      </w:tr>
    </w:tbl>
    <w:p w14:paraId="46B3E1C5">
      <w:pPr>
        <w:spacing w:line="360" w:lineRule="exact"/>
        <w:rPr>
          <w:rFonts w:ascii="Times New Roman" w:hAnsi="Times New Roman" w:eastAsia="宋体" w:cs="Times New Roman"/>
          <w:sz w:val="22"/>
          <w:szCs w:val="22"/>
        </w:rPr>
      </w:pPr>
      <w:r>
        <w:rPr>
          <w:rFonts w:ascii="Times New Roman" w:hAnsi="Times New Roman" w:eastAsia="宋体" w:cs="Times New Roman"/>
          <w:sz w:val="22"/>
          <w:szCs w:val="22"/>
        </w:rPr>
        <w:t>1. The currency should be USD and other currency is not accepted.</w:t>
      </w:r>
    </w:p>
    <w:p w14:paraId="7DE91822">
      <w:pPr>
        <w:spacing w:line="360" w:lineRule="exact"/>
        <w:rPr>
          <w:rFonts w:ascii="Times New Roman" w:hAnsi="Times New Roman" w:eastAsia="宋体" w:cs="Times New Roman"/>
          <w:sz w:val="22"/>
          <w:szCs w:val="22"/>
        </w:rPr>
      </w:pPr>
      <w:r>
        <w:rPr>
          <w:rFonts w:ascii="Times New Roman" w:hAnsi="Times New Roman" w:eastAsia="宋体" w:cs="Times New Roman"/>
          <w:sz w:val="22"/>
          <w:szCs w:val="22"/>
        </w:rPr>
        <w:t>2. Please offer the quotation according to deliver to</w:t>
      </w:r>
      <w:r>
        <w:rPr>
          <w:rFonts w:ascii="Times New Roman" w:hAnsi="Times New Roman" w:cs="Times New Roman"/>
          <w:sz w:val="22"/>
          <w:szCs w:val="22"/>
        </w:rPr>
        <w:t xml:space="preserve"> </w:t>
      </w:r>
      <w:r>
        <w:rPr>
          <w:rFonts w:ascii="Times New Roman" w:hAnsi="Times New Roman" w:eastAsia="宋体" w:cs="Times New Roman"/>
          <w:sz w:val="22"/>
          <w:szCs w:val="22"/>
        </w:rPr>
        <w:t>Tenderee's worksite or Base Camp in Missan, Iraq.</w:t>
      </w:r>
    </w:p>
    <w:p w14:paraId="724FBAD2">
      <w:pPr>
        <w:spacing w:line="360" w:lineRule="exact"/>
        <w:rPr>
          <w:rFonts w:ascii="Times New Roman" w:hAnsi="Times New Roman" w:eastAsia="宋体" w:cs="Times New Roman"/>
          <w:sz w:val="22"/>
          <w:szCs w:val="22"/>
        </w:rPr>
      </w:pPr>
      <w:r>
        <w:rPr>
          <w:rFonts w:ascii="Times New Roman" w:hAnsi="Times New Roman" w:eastAsia="宋体" w:cs="Times New Roman"/>
          <w:sz w:val="22"/>
          <w:szCs w:val="22"/>
        </w:rPr>
        <w:t>3. The Buyer will deduct three point three percent (3.3%) of each payment as withholding tax. Withholding tax will be retained by Buyer and released to the Seller once the Seller has  provided a tax clearance certificate issued by the General Tax Commission of Iraq before July 1</w:t>
      </w:r>
      <w:r>
        <w:rPr>
          <w:rFonts w:ascii="Times New Roman" w:hAnsi="Times New Roman" w:eastAsia="宋体" w:cs="Times New Roman"/>
          <w:sz w:val="22"/>
          <w:szCs w:val="22"/>
          <w:vertAlign w:val="superscript"/>
        </w:rPr>
        <w:t>st</w:t>
      </w:r>
      <w:r>
        <w:rPr>
          <w:rFonts w:ascii="Times New Roman" w:hAnsi="Times New Roman" w:eastAsia="宋体" w:cs="Times New Roman"/>
          <w:sz w:val="22"/>
          <w:szCs w:val="22"/>
        </w:rPr>
        <w:t xml:space="preserve"> next year. The quotation should include this tax.</w:t>
      </w:r>
    </w:p>
    <w:p w14:paraId="77BF0ED6">
      <w:pPr>
        <w:spacing w:line="360" w:lineRule="exact"/>
        <w:rPr>
          <w:rFonts w:ascii="Times New Roman" w:hAnsi="Times New Roman" w:eastAsia="宋体" w:cs="Times New Roman"/>
          <w:sz w:val="22"/>
          <w:szCs w:val="22"/>
        </w:rPr>
      </w:pPr>
      <w:r>
        <w:rPr>
          <w:rFonts w:ascii="Times New Roman" w:hAnsi="Times New Roman" w:eastAsia="宋体" w:cs="Times New Roman"/>
          <w:sz w:val="22"/>
          <w:szCs w:val="22"/>
        </w:rPr>
        <w:t>4. The quotation will be valid for the whole period of the contract.</w:t>
      </w:r>
    </w:p>
    <w:p w14:paraId="77A90E04">
      <w:pPr>
        <w:spacing w:line="360" w:lineRule="exact"/>
        <w:rPr>
          <w:rFonts w:ascii="Times New Roman" w:hAnsi="Times New Roman" w:eastAsia="宋体" w:cs="Times New Roman"/>
          <w:sz w:val="22"/>
          <w:szCs w:val="22"/>
        </w:rPr>
      </w:pPr>
      <w:r>
        <w:rPr>
          <w:rFonts w:ascii="Times New Roman" w:hAnsi="Times New Roman" w:eastAsia="宋体" w:cs="Times New Roman"/>
          <w:sz w:val="22"/>
          <w:szCs w:val="22"/>
        </w:rPr>
        <w:t>5. Contractor shall submit Certificate Of Origin (COO), Commercial Invoice (CI), Third Party Inspection (TPI) ,certificate, Package List (PL), API Certificate or/and ISO Certificate,copies of Bill of landing,original of certificate of quality and quantity issued by manufacturer ,CONTRACTOR shall submit the Origin Certificate of COO and CI (stamped by Iraqi embassy)</w:t>
      </w:r>
    </w:p>
    <w:p w14:paraId="2B8BAD69">
      <w:pPr>
        <w:spacing w:line="360" w:lineRule="exact"/>
        <w:rPr>
          <w:rFonts w:ascii="Times New Roman" w:hAnsi="Times New Roman" w:eastAsia="方正仿宋简体" w:cs="Times New Roman"/>
          <w:b/>
          <w:bCs/>
          <w:sz w:val="22"/>
          <w:szCs w:val="22"/>
        </w:rPr>
      </w:pPr>
    </w:p>
    <w:p w14:paraId="288855A9">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Company(company seal):</w:t>
      </w:r>
    </w:p>
    <w:p w14:paraId="114AF6EF">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Legal Representative or Authorized Representative (signature):</w:t>
      </w:r>
    </w:p>
    <w:p w14:paraId="54074CB4">
      <w:pPr>
        <w:spacing w:line="360" w:lineRule="exact"/>
        <w:jc w:val="left"/>
        <w:rPr>
          <w:rFonts w:ascii="Times New Roman" w:hAnsi="Times New Roman" w:eastAsia="宋体" w:cs="Times New Roman"/>
          <w:b/>
          <w:bCs/>
          <w:sz w:val="22"/>
          <w:szCs w:val="22"/>
        </w:rPr>
        <w:sectPr>
          <w:pgSz w:w="16834" w:h="11909" w:orient="landscape"/>
          <w:pgMar w:top="1134" w:right="1418" w:bottom="1134" w:left="1418" w:header="397" w:footer="6" w:gutter="0"/>
          <w:cols w:space="720" w:num="1"/>
          <w:docGrid w:linePitch="360" w:charSpace="0"/>
        </w:sectPr>
      </w:pPr>
      <w:r>
        <w:rPr>
          <w:rFonts w:ascii="Times New Roman" w:hAnsi="Times New Roman" w:eastAsia="方正仿宋简体" w:cs="Times New Roman"/>
          <w:b/>
          <w:bCs/>
          <w:sz w:val="22"/>
          <w:szCs w:val="22"/>
        </w:rPr>
        <w:t>[Date]</w:t>
      </w:r>
    </w:p>
    <w:p w14:paraId="267E61FD">
      <w:pPr>
        <w:spacing w:line="360" w:lineRule="exact"/>
        <w:ind w:firstLine="442" w:firstLineChars="200"/>
        <w:jc w:val="center"/>
        <w:rPr>
          <w:rFonts w:ascii="Times New Roman" w:hAnsi="Times New Roman" w:eastAsia="方正黑体简体" w:cs="Times New Roman"/>
          <w:b/>
          <w:bCs/>
          <w:sz w:val="22"/>
          <w:szCs w:val="22"/>
        </w:rPr>
      </w:pPr>
    </w:p>
    <w:p w14:paraId="5981F3B6">
      <w:pPr>
        <w:spacing w:line="360" w:lineRule="exact"/>
        <w:ind w:firstLine="442" w:firstLineChars="200"/>
        <w:jc w:val="center"/>
        <w:rPr>
          <w:rFonts w:ascii="Times New Roman" w:hAnsi="Times New Roman" w:eastAsia="方正黑体简体" w:cs="Times New Roman"/>
          <w:b/>
          <w:bCs/>
          <w:sz w:val="22"/>
          <w:szCs w:val="22"/>
        </w:rPr>
      </w:pPr>
    </w:p>
    <w:p w14:paraId="696F6DEC">
      <w:pPr>
        <w:spacing w:line="360" w:lineRule="exact"/>
        <w:ind w:firstLine="482" w:firstLineChars="200"/>
        <w:jc w:val="center"/>
        <w:rPr>
          <w:rFonts w:ascii="Times New Roman" w:hAnsi="Times New Roman" w:eastAsia="方正仿宋简体" w:cs="Times New Roman"/>
          <w:b/>
          <w:bCs/>
          <w:sz w:val="24"/>
        </w:rPr>
      </w:pPr>
      <w:r>
        <w:rPr>
          <w:rFonts w:ascii="Times New Roman" w:hAnsi="Times New Roman" w:eastAsia="方正黑体简体" w:cs="Times New Roman"/>
          <w:b/>
          <w:bCs/>
          <w:sz w:val="24"/>
        </w:rPr>
        <w:t>ENTERPRISE QUALIFICATION CERTIFICATES</w:t>
      </w:r>
    </w:p>
    <w:p w14:paraId="72D8EAA5">
      <w:pPr>
        <w:spacing w:line="360" w:lineRule="auto"/>
        <w:ind w:firstLine="440" w:firstLineChars="200"/>
        <w:rPr>
          <w:rFonts w:ascii="Times New Roman" w:hAnsi="Times New Roman" w:eastAsia="方正仿宋简体" w:cs="Times New Roman"/>
          <w:sz w:val="22"/>
          <w:szCs w:val="22"/>
        </w:rPr>
      </w:pPr>
    </w:p>
    <w:p w14:paraId="06AEBC13">
      <w:pPr>
        <w:numPr>
          <w:ilvl w:val="0"/>
          <w:numId w:val="2"/>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Business License (Registration Documents)</w:t>
      </w:r>
    </w:p>
    <w:p w14:paraId="7871C964">
      <w:pPr>
        <w:spacing w:line="360" w:lineRule="exact"/>
        <w:rPr>
          <w:rFonts w:ascii="Times New Roman" w:hAnsi="Times New Roman" w:eastAsia="方正仿宋简体" w:cs="Times New Roman"/>
          <w:sz w:val="22"/>
          <w:szCs w:val="22"/>
        </w:rPr>
      </w:pPr>
    </w:p>
    <w:p w14:paraId="4047ECC7">
      <w:pPr>
        <w:numPr>
          <w:ilvl w:val="0"/>
          <w:numId w:val="2"/>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Tax Registration Certificate (if applicable)</w:t>
      </w:r>
    </w:p>
    <w:p w14:paraId="2253540E">
      <w:pPr>
        <w:spacing w:line="360" w:lineRule="exact"/>
        <w:rPr>
          <w:rFonts w:ascii="Times New Roman" w:hAnsi="Times New Roman" w:eastAsia="方正仿宋简体" w:cs="Times New Roman"/>
          <w:sz w:val="22"/>
          <w:szCs w:val="22"/>
        </w:rPr>
      </w:pPr>
    </w:p>
    <w:p w14:paraId="71CC54AE">
      <w:pPr>
        <w:numPr>
          <w:ilvl w:val="0"/>
          <w:numId w:val="2"/>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Bank Account Information (if applicable)</w:t>
      </w:r>
    </w:p>
    <w:p w14:paraId="46D98EDF">
      <w:pPr>
        <w:spacing w:line="360" w:lineRule="exact"/>
        <w:rPr>
          <w:rFonts w:ascii="Times New Roman" w:hAnsi="Times New Roman" w:eastAsia="方正仿宋简体" w:cs="Times New Roman"/>
          <w:sz w:val="22"/>
          <w:szCs w:val="22"/>
        </w:rPr>
      </w:pPr>
    </w:p>
    <w:p w14:paraId="234ADE00">
      <w:pPr>
        <w:numPr>
          <w:ilvl w:val="0"/>
          <w:numId w:val="2"/>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Other Qualification Certificates (if applicable)</w:t>
      </w:r>
    </w:p>
    <w:p w14:paraId="0A336970">
      <w:pPr>
        <w:spacing w:line="360" w:lineRule="exact"/>
        <w:rPr>
          <w:rFonts w:ascii="Times New Roman" w:hAnsi="Times New Roman" w:eastAsia="方正仿宋简体" w:cs="Times New Roman"/>
          <w:sz w:val="22"/>
          <w:szCs w:val="22"/>
        </w:rPr>
      </w:pPr>
    </w:p>
    <w:p w14:paraId="7160B371">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Note: Equivalent supporting documents may be provided. The content shall be sufficient to demonstrate the qualification and capability to engage in the relevant business.</w:t>
      </w:r>
    </w:p>
    <w:p w14:paraId="25D0FA60">
      <w:pPr>
        <w:spacing w:line="360" w:lineRule="exact"/>
        <w:ind w:firstLine="440" w:firstLineChars="200"/>
        <w:rPr>
          <w:rFonts w:ascii="Times New Roman" w:hAnsi="Times New Roman" w:eastAsia="方正仿宋简体" w:cs="Times New Roman"/>
          <w:sz w:val="22"/>
          <w:szCs w:val="22"/>
        </w:rPr>
      </w:pPr>
    </w:p>
    <w:p w14:paraId="5D220652">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7D5962A2">
      <w:pPr>
        <w:spacing w:line="360" w:lineRule="exact"/>
        <w:ind w:firstLine="442" w:firstLineChars="200"/>
        <w:jc w:val="center"/>
        <w:rPr>
          <w:rFonts w:ascii="Times New Roman" w:hAnsi="Times New Roman" w:eastAsia="方正黑体简体" w:cs="Times New Roman"/>
          <w:b/>
          <w:bCs/>
          <w:sz w:val="22"/>
          <w:szCs w:val="22"/>
        </w:rPr>
      </w:pPr>
    </w:p>
    <w:p w14:paraId="6929E1CD">
      <w:pPr>
        <w:spacing w:line="360" w:lineRule="exact"/>
        <w:ind w:firstLine="442" w:firstLineChars="200"/>
        <w:jc w:val="center"/>
        <w:rPr>
          <w:rFonts w:ascii="Times New Roman" w:hAnsi="Times New Roman" w:eastAsia="方正黑体简体" w:cs="Times New Roman"/>
          <w:b/>
          <w:bCs/>
          <w:sz w:val="22"/>
          <w:szCs w:val="22"/>
        </w:rPr>
      </w:pPr>
    </w:p>
    <w:p w14:paraId="06C8668B">
      <w:pPr>
        <w:spacing w:line="360" w:lineRule="exact"/>
        <w:ind w:firstLine="442" w:firstLineChars="200"/>
        <w:jc w:val="center"/>
        <w:rPr>
          <w:rFonts w:ascii="Times New Roman" w:hAnsi="Times New Roman" w:eastAsia="方正黑体简体" w:cs="Times New Roman"/>
          <w:b/>
          <w:bCs/>
          <w:sz w:val="22"/>
          <w:szCs w:val="22"/>
        </w:rPr>
      </w:pPr>
      <w:r>
        <w:rPr>
          <w:rFonts w:ascii="Times New Roman" w:hAnsi="Times New Roman" w:eastAsia="方正黑体简体" w:cs="Times New Roman"/>
          <w:b/>
          <w:bCs/>
          <w:sz w:val="22"/>
          <w:szCs w:val="22"/>
        </w:rPr>
        <w:t>TABLE OF SIMILAR PROJECTS COMPLETED BY THE ENTERPRISE IN RECENT YEARS</w:t>
      </w:r>
    </w:p>
    <w:p w14:paraId="511299A5">
      <w:pPr>
        <w:spacing w:line="360" w:lineRule="exact"/>
        <w:ind w:firstLine="440" w:firstLineChars="200"/>
        <w:rPr>
          <w:rFonts w:ascii="Times New Roman" w:hAnsi="Times New Roman" w:eastAsia="方正仿宋简体" w:cs="Times New Roman"/>
          <w:sz w:val="22"/>
          <w:szCs w:val="22"/>
        </w:rPr>
      </w:pPr>
    </w:p>
    <w:tbl>
      <w:tblPr>
        <w:tblStyle w:val="7"/>
        <w:tblW w:w="4998" w:type="pct"/>
        <w:jc w:val="center"/>
        <w:tblLayout w:type="autofit"/>
        <w:tblCellMar>
          <w:top w:w="0" w:type="dxa"/>
          <w:left w:w="108" w:type="dxa"/>
          <w:bottom w:w="0" w:type="dxa"/>
          <w:right w:w="108" w:type="dxa"/>
        </w:tblCellMar>
      </w:tblPr>
      <w:tblGrid>
        <w:gridCol w:w="1233"/>
        <w:gridCol w:w="1444"/>
        <w:gridCol w:w="1444"/>
        <w:gridCol w:w="1812"/>
        <w:gridCol w:w="2580"/>
      </w:tblGrid>
      <w:tr w14:paraId="15D3C522">
        <w:tblPrEx>
          <w:tblCellMar>
            <w:top w:w="0" w:type="dxa"/>
            <w:left w:w="108" w:type="dxa"/>
            <w:bottom w:w="0" w:type="dxa"/>
            <w:right w:w="108" w:type="dxa"/>
          </w:tblCellMar>
        </w:tblPrEx>
        <w:trPr>
          <w:trHeight w:val="1265" w:hRule="atLeast"/>
          <w:jc w:val="center"/>
        </w:trPr>
        <w:tc>
          <w:tcPr>
            <w:tcW w:w="724" w:type="pct"/>
            <w:tcBorders>
              <w:top w:val="single" w:color="auto" w:sz="4" w:space="0"/>
              <w:left w:val="single" w:color="auto" w:sz="4" w:space="0"/>
              <w:bottom w:val="single" w:color="auto" w:sz="4" w:space="0"/>
              <w:right w:val="single" w:color="auto" w:sz="4" w:space="0"/>
            </w:tcBorders>
            <w:vAlign w:val="center"/>
          </w:tcPr>
          <w:p w14:paraId="519D1CCB">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Year</w:t>
            </w:r>
          </w:p>
        </w:tc>
        <w:tc>
          <w:tcPr>
            <w:tcW w:w="848" w:type="pct"/>
            <w:tcBorders>
              <w:top w:val="single" w:color="auto" w:sz="4" w:space="0"/>
              <w:left w:val="nil"/>
              <w:bottom w:val="single" w:color="auto" w:sz="4" w:space="0"/>
              <w:right w:val="single" w:color="auto" w:sz="4" w:space="0"/>
            </w:tcBorders>
            <w:vAlign w:val="center"/>
          </w:tcPr>
          <w:p w14:paraId="13666706">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Project</w:t>
            </w:r>
          </w:p>
        </w:tc>
        <w:tc>
          <w:tcPr>
            <w:tcW w:w="848" w:type="pct"/>
            <w:tcBorders>
              <w:top w:val="single" w:color="auto" w:sz="4" w:space="0"/>
              <w:left w:val="nil"/>
              <w:bottom w:val="single" w:color="auto" w:sz="4" w:space="0"/>
              <w:right w:val="single" w:color="auto" w:sz="4" w:space="0"/>
            </w:tcBorders>
            <w:vAlign w:val="center"/>
          </w:tcPr>
          <w:p w14:paraId="5A8B0B66">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Client</w:t>
            </w:r>
          </w:p>
        </w:tc>
        <w:tc>
          <w:tcPr>
            <w:tcW w:w="1064" w:type="pct"/>
            <w:tcBorders>
              <w:top w:val="single" w:color="auto" w:sz="4" w:space="0"/>
              <w:left w:val="single" w:color="auto" w:sz="4" w:space="0"/>
              <w:bottom w:val="single" w:color="auto" w:sz="4" w:space="0"/>
              <w:right w:val="single" w:color="auto" w:sz="4" w:space="0"/>
            </w:tcBorders>
            <w:vAlign w:val="center"/>
          </w:tcPr>
          <w:p w14:paraId="23412711">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Price</w:t>
            </w:r>
          </w:p>
        </w:tc>
        <w:tc>
          <w:tcPr>
            <w:tcW w:w="1514" w:type="pct"/>
            <w:tcBorders>
              <w:top w:val="single" w:color="auto" w:sz="4" w:space="0"/>
              <w:left w:val="single" w:color="auto" w:sz="4" w:space="0"/>
              <w:bottom w:val="single" w:color="auto" w:sz="4" w:space="0"/>
              <w:right w:val="single" w:color="auto" w:sz="4" w:space="0"/>
            </w:tcBorders>
            <w:vAlign w:val="center"/>
          </w:tcPr>
          <w:p w14:paraId="158476F1">
            <w:pPr>
              <w:pStyle w:val="3"/>
              <w:spacing w:after="0" w:line="360" w:lineRule="exact"/>
              <w:jc w:val="center"/>
              <w:rPr>
                <w:rFonts w:ascii="Times New Roman" w:hAnsi="Times New Roman" w:eastAsia="方正仿宋简体"/>
                <w:b w:val="0"/>
                <w:bCs w:val="0"/>
                <w:sz w:val="22"/>
                <w:szCs w:val="22"/>
              </w:rPr>
            </w:pPr>
            <w:r>
              <w:rPr>
                <w:rFonts w:ascii="Times New Roman" w:hAnsi="Times New Roman" w:eastAsia="方正仿宋简体"/>
                <w:b w:val="0"/>
                <w:bCs w:val="0"/>
                <w:sz w:val="22"/>
                <w:szCs w:val="22"/>
              </w:rPr>
              <w:t>Invoice No.</w:t>
            </w:r>
          </w:p>
        </w:tc>
      </w:tr>
      <w:tr w14:paraId="23413D7F">
        <w:tblPrEx>
          <w:tblCellMar>
            <w:top w:w="0" w:type="dxa"/>
            <w:left w:w="108" w:type="dxa"/>
            <w:bottom w:w="0" w:type="dxa"/>
            <w:right w:w="108" w:type="dxa"/>
          </w:tblCellMar>
        </w:tblPrEx>
        <w:trPr>
          <w:trHeight w:val="642" w:hRule="atLeast"/>
          <w:jc w:val="center"/>
        </w:trPr>
        <w:tc>
          <w:tcPr>
            <w:tcW w:w="724" w:type="pct"/>
            <w:vMerge w:val="restart"/>
            <w:tcBorders>
              <w:top w:val="single" w:color="auto" w:sz="4" w:space="0"/>
              <w:left w:val="single" w:color="auto" w:sz="4" w:space="0"/>
              <w:right w:val="single" w:color="auto" w:sz="4" w:space="0"/>
            </w:tcBorders>
            <w:vAlign w:val="center"/>
          </w:tcPr>
          <w:p w14:paraId="783E6B10">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restart"/>
            <w:tcBorders>
              <w:top w:val="single" w:color="auto" w:sz="4" w:space="0"/>
              <w:left w:val="single" w:color="auto" w:sz="4" w:space="0"/>
              <w:right w:val="single" w:color="auto" w:sz="4" w:space="0"/>
            </w:tcBorders>
            <w:vAlign w:val="center"/>
          </w:tcPr>
          <w:p w14:paraId="0D9E2A1E">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restart"/>
            <w:tcBorders>
              <w:top w:val="single" w:color="auto" w:sz="4" w:space="0"/>
              <w:left w:val="single" w:color="auto" w:sz="4" w:space="0"/>
              <w:right w:val="single" w:color="auto" w:sz="4" w:space="0"/>
            </w:tcBorders>
            <w:vAlign w:val="center"/>
          </w:tcPr>
          <w:p w14:paraId="07C28A8F">
            <w:pPr>
              <w:pStyle w:val="3"/>
              <w:spacing w:after="0" w:line="360" w:lineRule="exact"/>
              <w:ind w:firstLine="440" w:firstLineChars="200"/>
              <w:jc w:val="center"/>
              <w:rPr>
                <w:rFonts w:ascii="Times New Roman" w:hAnsi="Times New Roman" w:eastAsia="方正仿宋简体"/>
                <w:b w:val="0"/>
                <w:bCs w:val="0"/>
                <w:sz w:val="22"/>
                <w:szCs w:val="22"/>
              </w:rPr>
            </w:pPr>
          </w:p>
        </w:tc>
        <w:tc>
          <w:tcPr>
            <w:tcW w:w="1064" w:type="pct"/>
            <w:vMerge w:val="restart"/>
            <w:tcBorders>
              <w:top w:val="single" w:color="auto" w:sz="4" w:space="0"/>
              <w:left w:val="single" w:color="auto" w:sz="4" w:space="0"/>
              <w:right w:val="single" w:color="auto" w:sz="4" w:space="0"/>
            </w:tcBorders>
            <w:vAlign w:val="center"/>
          </w:tcPr>
          <w:p w14:paraId="4D4A3244">
            <w:pPr>
              <w:pStyle w:val="3"/>
              <w:spacing w:after="0" w:line="360" w:lineRule="exact"/>
              <w:ind w:firstLine="440" w:firstLineChars="200"/>
              <w:jc w:val="center"/>
              <w:rPr>
                <w:rFonts w:ascii="Times New Roman" w:hAnsi="Times New Roman" w:eastAsia="方正仿宋简体"/>
                <w:b w:val="0"/>
                <w:bCs w:val="0"/>
                <w:sz w:val="22"/>
                <w:szCs w:val="22"/>
              </w:rPr>
            </w:pPr>
          </w:p>
        </w:tc>
        <w:tc>
          <w:tcPr>
            <w:tcW w:w="1514" w:type="pct"/>
            <w:tcBorders>
              <w:top w:val="single" w:color="auto" w:sz="4" w:space="0"/>
              <w:left w:val="single" w:color="auto" w:sz="4" w:space="0"/>
              <w:bottom w:val="single" w:color="auto" w:sz="4" w:space="0"/>
              <w:right w:val="single" w:color="auto" w:sz="4" w:space="0"/>
            </w:tcBorders>
          </w:tcPr>
          <w:p w14:paraId="32773BE3">
            <w:pPr>
              <w:pStyle w:val="3"/>
              <w:spacing w:after="0" w:line="360" w:lineRule="exact"/>
              <w:ind w:firstLine="440" w:firstLineChars="200"/>
              <w:jc w:val="center"/>
              <w:rPr>
                <w:rFonts w:ascii="Times New Roman" w:hAnsi="Times New Roman" w:eastAsia="方正仿宋简体"/>
                <w:b w:val="0"/>
                <w:bCs w:val="0"/>
                <w:sz w:val="22"/>
                <w:szCs w:val="22"/>
              </w:rPr>
            </w:pPr>
          </w:p>
        </w:tc>
      </w:tr>
      <w:tr w14:paraId="0B6E9447">
        <w:tblPrEx>
          <w:tblCellMar>
            <w:top w:w="0" w:type="dxa"/>
            <w:left w:w="108" w:type="dxa"/>
            <w:bottom w:w="0" w:type="dxa"/>
            <w:right w:w="108" w:type="dxa"/>
          </w:tblCellMar>
        </w:tblPrEx>
        <w:trPr>
          <w:trHeight w:val="771" w:hRule="atLeast"/>
          <w:jc w:val="center"/>
        </w:trPr>
        <w:tc>
          <w:tcPr>
            <w:tcW w:w="724" w:type="pct"/>
            <w:vMerge w:val="continue"/>
            <w:tcBorders>
              <w:left w:val="single" w:color="auto" w:sz="4" w:space="0"/>
              <w:right w:val="single" w:color="auto" w:sz="4" w:space="0"/>
            </w:tcBorders>
            <w:vAlign w:val="center"/>
          </w:tcPr>
          <w:p w14:paraId="18E0F64C">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continue"/>
            <w:tcBorders>
              <w:left w:val="single" w:color="auto" w:sz="4" w:space="0"/>
              <w:right w:val="single" w:color="auto" w:sz="4" w:space="0"/>
            </w:tcBorders>
            <w:vAlign w:val="center"/>
          </w:tcPr>
          <w:p w14:paraId="09558E31">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continue"/>
            <w:tcBorders>
              <w:left w:val="single" w:color="auto" w:sz="4" w:space="0"/>
              <w:right w:val="single" w:color="auto" w:sz="4" w:space="0"/>
            </w:tcBorders>
            <w:vAlign w:val="center"/>
          </w:tcPr>
          <w:p w14:paraId="323C9357">
            <w:pPr>
              <w:pStyle w:val="3"/>
              <w:spacing w:after="0" w:line="360" w:lineRule="exact"/>
              <w:ind w:firstLine="440" w:firstLineChars="200"/>
              <w:jc w:val="center"/>
              <w:rPr>
                <w:rFonts w:ascii="Times New Roman" w:hAnsi="Times New Roman" w:eastAsia="方正仿宋简体"/>
                <w:b w:val="0"/>
                <w:bCs w:val="0"/>
                <w:sz w:val="22"/>
                <w:szCs w:val="22"/>
              </w:rPr>
            </w:pPr>
          </w:p>
        </w:tc>
        <w:tc>
          <w:tcPr>
            <w:tcW w:w="1064" w:type="pct"/>
            <w:vMerge w:val="continue"/>
            <w:tcBorders>
              <w:left w:val="single" w:color="auto" w:sz="4" w:space="0"/>
              <w:right w:val="single" w:color="auto" w:sz="4" w:space="0"/>
            </w:tcBorders>
            <w:vAlign w:val="center"/>
          </w:tcPr>
          <w:p w14:paraId="58ED4A85">
            <w:pPr>
              <w:pStyle w:val="3"/>
              <w:spacing w:after="0" w:line="360" w:lineRule="exact"/>
              <w:ind w:firstLine="440" w:firstLineChars="200"/>
              <w:jc w:val="center"/>
              <w:rPr>
                <w:rFonts w:ascii="Times New Roman" w:hAnsi="Times New Roman" w:eastAsia="方正仿宋简体"/>
                <w:b w:val="0"/>
                <w:bCs w:val="0"/>
                <w:sz w:val="22"/>
                <w:szCs w:val="22"/>
              </w:rPr>
            </w:pPr>
          </w:p>
        </w:tc>
        <w:tc>
          <w:tcPr>
            <w:tcW w:w="1514" w:type="pct"/>
            <w:tcBorders>
              <w:top w:val="single" w:color="auto" w:sz="4" w:space="0"/>
              <w:left w:val="single" w:color="auto" w:sz="4" w:space="0"/>
              <w:bottom w:val="single" w:color="auto" w:sz="4" w:space="0"/>
              <w:right w:val="single" w:color="auto" w:sz="4" w:space="0"/>
            </w:tcBorders>
          </w:tcPr>
          <w:p w14:paraId="2250A8F5">
            <w:pPr>
              <w:pStyle w:val="3"/>
              <w:spacing w:after="0" w:line="360" w:lineRule="exact"/>
              <w:ind w:firstLine="440" w:firstLineChars="200"/>
              <w:jc w:val="center"/>
              <w:rPr>
                <w:rFonts w:ascii="Times New Roman" w:hAnsi="Times New Roman" w:eastAsia="方正仿宋简体"/>
                <w:b w:val="0"/>
                <w:bCs w:val="0"/>
                <w:sz w:val="22"/>
                <w:szCs w:val="22"/>
              </w:rPr>
            </w:pPr>
          </w:p>
        </w:tc>
      </w:tr>
      <w:tr w14:paraId="485C15CF">
        <w:tblPrEx>
          <w:tblCellMar>
            <w:top w:w="0" w:type="dxa"/>
            <w:left w:w="108" w:type="dxa"/>
            <w:bottom w:w="0" w:type="dxa"/>
            <w:right w:w="108" w:type="dxa"/>
          </w:tblCellMar>
        </w:tblPrEx>
        <w:trPr>
          <w:trHeight w:val="642" w:hRule="atLeast"/>
          <w:jc w:val="center"/>
        </w:trPr>
        <w:tc>
          <w:tcPr>
            <w:tcW w:w="724" w:type="pct"/>
            <w:vMerge w:val="continue"/>
            <w:tcBorders>
              <w:left w:val="single" w:color="auto" w:sz="4" w:space="0"/>
              <w:right w:val="single" w:color="auto" w:sz="4" w:space="0"/>
            </w:tcBorders>
            <w:vAlign w:val="center"/>
          </w:tcPr>
          <w:p w14:paraId="2C3B1008">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restart"/>
            <w:tcBorders>
              <w:top w:val="single" w:color="auto" w:sz="4" w:space="0"/>
              <w:left w:val="single" w:color="auto" w:sz="4" w:space="0"/>
              <w:right w:val="single" w:color="auto" w:sz="4" w:space="0"/>
            </w:tcBorders>
            <w:vAlign w:val="center"/>
          </w:tcPr>
          <w:p w14:paraId="70E2CB22">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restart"/>
            <w:tcBorders>
              <w:top w:val="single" w:color="auto" w:sz="4" w:space="0"/>
              <w:left w:val="single" w:color="auto" w:sz="4" w:space="0"/>
              <w:right w:val="single" w:color="auto" w:sz="4" w:space="0"/>
            </w:tcBorders>
            <w:vAlign w:val="center"/>
          </w:tcPr>
          <w:p w14:paraId="4797DB73">
            <w:pPr>
              <w:pStyle w:val="3"/>
              <w:spacing w:after="0" w:line="360" w:lineRule="exact"/>
              <w:ind w:firstLine="440" w:firstLineChars="200"/>
              <w:jc w:val="center"/>
              <w:rPr>
                <w:rFonts w:ascii="Times New Roman" w:hAnsi="Times New Roman" w:eastAsia="方正仿宋简体"/>
                <w:b w:val="0"/>
                <w:bCs w:val="0"/>
                <w:sz w:val="22"/>
                <w:szCs w:val="22"/>
              </w:rPr>
            </w:pPr>
          </w:p>
        </w:tc>
        <w:tc>
          <w:tcPr>
            <w:tcW w:w="1064" w:type="pct"/>
            <w:vMerge w:val="restart"/>
            <w:tcBorders>
              <w:top w:val="single" w:color="auto" w:sz="4" w:space="0"/>
              <w:left w:val="single" w:color="auto" w:sz="4" w:space="0"/>
              <w:right w:val="single" w:color="auto" w:sz="4" w:space="0"/>
            </w:tcBorders>
            <w:vAlign w:val="center"/>
          </w:tcPr>
          <w:p w14:paraId="27CAAD9C">
            <w:pPr>
              <w:pStyle w:val="3"/>
              <w:spacing w:after="0" w:line="360" w:lineRule="exact"/>
              <w:ind w:firstLine="440" w:firstLineChars="200"/>
              <w:jc w:val="center"/>
              <w:rPr>
                <w:rFonts w:ascii="Times New Roman" w:hAnsi="Times New Roman" w:eastAsia="方正仿宋简体"/>
                <w:b w:val="0"/>
                <w:bCs w:val="0"/>
                <w:sz w:val="22"/>
                <w:szCs w:val="22"/>
              </w:rPr>
            </w:pPr>
          </w:p>
        </w:tc>
        <w:tc>
          <w:tcPr>
            <w:tcW w:w="1514" w:type="pct"/>
            <w:tcBorders>
              <w:top w:val="single" w:color="auto" w:sz="4" w:space="0"/>
              <w:left w:val="single" w:color="auto" w:sz="4" w:space="0"/>
              <w:bottom w:val="single" w:color="auto" w:sz="4" w:space="0"/>
              <w:right w:val="single" w:color="auto" w:sz="4" w:space="0"/>
            </w:tcBorders>
          </w:tcPr>
          <w:p w14:paraId="2573038E">
            <w:pPr>
              <w:pStyle w:val="3"/>
              <w:spacing w:after="0" w:line="360" w:lineRule="exact"/>
              <w:ind w:firstLine="440" w:firstLineChars="200"/>
              <w:jc w:val="center"/>
              <w:rPr>
                <w:rFonts w:ascii="Times New Roman" w:hAnsi="Times New Roman" w:eastAsia="方正仿宋简体"/>
                <w:b w:val="0"/>
                <w:bCs w:val="0"/>
                <w:sz w:val="22"/>
                <w:szCs w:val="22"/>
              </w:rPr>
            </w:pPr>
          </w:p>
        </w:tc>
      </w:tr>
      <w:tr w14:paraId="146B0730">
        <w:tblPrEx>
          <w:tblCellMar>
            <w:top w:w="0" w:type="dxa"/>
            <w:left w:w="108" w:type="dxa"/>
            <w:bottom w:w="0" w:type="dxa"/>
            <w:right w:w="108" w:type="dxa"/>
          </w:tblCellMar>
        </w:tblPrEx>
        <w:trPr>
          <w:trHeight w:val="709" w:hRule="atLeast"/>
          <w:jc w:val="center"/>
        </w:trPr>
        <w:tc>
          <w:tcPr>
            <w:tcW w:w="724" w:type="pct"/>
            <w:vMerge w:val="continue"/>
            <w:tcBorders>
              <w:left w:val="single" w:color="auto" w:sz="4" w:space="0"/>
              <w:right w:val="single" w:color="auto" w:sz="4" w:space="0"/>
            </w:tcBorders>
            <w:vAlign w:val="center"/>
          </w:tcPr>
          <w:p w14:paraId="0FBD7B05">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continue"/>
            <w:tcBorders>
              <w:left w:val="single" w:color="auto" w:sz="4" w:space="0"/>
              <w:bottom w:val="single" w:color="auto" w:sz="4" w:space="0"/>
              <w:right w:val="single" w:color="auto" w:sz="4" w:space="0"/>
            </w:tcBorders>
            <w:vAlign w:val="center"/>
          </w:tcPr>
          <w:p w14:paraId="732539F7">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vMerge w:val="continue"/>
            <w:tcBorders>
              <w:left w:val="single" w:color="auto" w:sz="4" w:space="0"/>
              <w:bottom w:val="single" w:color="auto" w:sz="4" w:space="0"/>
              <w:right w:val="single" w:color="auto" w:sz="4" w:space="0"/>
            </w:tcBorders>
            <w:vAlign w:val="center"/>
          </w:tcPr>
          <w:p w14:paraId="762DC00C">
            <w:pPr>
              <w:pStyle w:val="3"/>
              <w:spacing w:after="0" w:line="360" w:lineRule="exact"/>
              <w:ind w:firstLine="440" w:firstLineChars="200"/>
              <w:jc w:val="center"/>
              <w:rPr>
                <w:rFonts w:ascii="Times New Roman" w:hAnsi="Times New Roman" w:eastAsia="方正仿宋简体"/>
                <w:b w:val="0"/>
                <w:bCs w:val="0"/>
                <w:sz w:val="22"/>
                <w:szCs w:val="22"/>
              </w:rPr>
            </w:pPr>
          </w:p>
        </w:tc>
        <w:tc>
          <w:tcPr>
            <w:tcW w:w="1064" w:type="pct"/>
            <w:vMerge w:val="continue"/>
            <w:tcBorders>
              <w:left w:val="single" w:color="auto" w:sz="4" w:space="0"/>
              <w:bottom w:val="single" w:color="auto" w:sz="4" w:space="0"/>
              <w:right w:val="single" w:color="auto" w:sz="4" w:space="0"/>
            </w:tcBorders>
            <w:vAlign w:val="center"/>
          </w:tcPr>
          <w:p w14:paraId="542D8E5C">
            <w:pPr>
              <w:pStyle w:val="3"/>
              <w:spacing w:after="0" w:line="360" w:lineRule="exact"/>
              <w:ind w:firstLine="440" w:firstLineChars="200"/>
              <w:jc w:val="center"/>
              <w:rPr>
                <w:rFonts w:ascii="Times New Roman" w:hAnsi="Times New Roman" w:eastAsia="方正仿宋简体"/>
                <w:b w:val="0"/>
                <w:bCs w:val="0"/>
                <w:sz w:val="22"/>
                <w:szCs w:val="22"/>
              </w:rPr>
            </w:pPr>
          </w:p>
        </w:tc>
        <w:tc>
          <w:tcPr>
            <w:tcW w:w="1514" w:type="pct"/>
            <w:tcBorders>
              <w:top w:val="single" w:color="auto" w:sz="4" w:space="0"/>
              <w:left w:val="single" w:color="auto" w:sz="4" w:space="0"/>
              <w:bottom w:val="single" w:color="auto" w:sz="4" w:space="0"/>
              <w:right w:val="single" w:color="auto" w:sz="4" w:space="0"/>
            </w:tcBorders>
          </w:tcPr>
          <w:p w14:paraId="72BB3EF4">
            <w:pPr>
              <w:pStyle w:val="3"/>
              <w:spacing w:after="0" w:line="360" w:lineRule="exact"/>
              <w:ind w:firstLine="440" w:firstLineChars="200"/>
              <w:jc w:val="center"/>
              <w:rPr>
                <w:rFonts w:ascii="Times New Roman" w:hAnsi="Times New Roman" w:eastAsia="方正仿宋简体"/>
                <w:b w:val="0"/>
                <w:bCs w:val="0"/>
                <w:sz w:val="22"/>
                <w:szCs w:val="22"/>
              </w:rPr>
            </w:pPr>
          </w:p>
        </w:tc>
      </w:tr>
      <w:tr w14:paraId="3FEB68DF">
        <w:tblPrEx>
          <w:tblCellMar>
            <w:top w:w="0" w:type="dxa"/>
            <w:left w:w="108" w:type="dxa"/>
            <w:bottom w:w="0" w:type="dxa"/>
            <w:right w:w="108" w:type="dxa"/>
          </w:tblCellMar>
        </w:tblPrEx>
        <w:trPr>
          <w:trHeight w:val="789" w:hRule="atLeast"/>
          <w:jc w:val="center"/>
        </w:trPr>
        <w:tc>
          <w:tcPr>
            <w:tcW w:w="724" w:type="pct"/>
            <w:vMerge w:val="continue"/>
            <w:tcBorders>
              <w:left w:val="single" w:color="auto" w:sz="4" w:space="0"/>
              <w:right w:val="single" w:color="auto" w:sz="4" w:space="0"/>
            </w:tcBorders>
            <w:vAlign w:val="center"/>
          </w:tcPr>
          <w:p w14:paraId="68FF6951">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tcBorders>
              <w:top w:val="single" w:color="auto" w:sz="4" w:space="0"/>
              <w:left w:val="single" w:color="auto" w:sz="4" w:space="0"/>
              <w:bottom w:val="single" w:color="auto" w:sz="4" w:space="0"/>
              <w:right w:val="single" w:color="auto" w:sz="4" w:space="0"/>
            </w:tcBorders>
            <w:vAlign w:val="center"/>
          </w:tcPr>
          <w:p w14:paraId="29784110">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tcBorders>
              <w:top w:val="single" w:color="auto" w:sz="4" w:space="0"/>
              <w:left w:val="single" w:color="auto" w:sz="4" w:space="0"/>
              <w:bottom w:val="single" w:color="auto" w:sz="4" w:space="0"/>
              <w:right w:val="single" w:color="auto" w:sz="4" w:space="0"/>
            </w:tcBorders>
            <w:vAlign w:val="center"/>
          </w:tcPr>
          <w:p w14:paraId="0564C73A">
            <w:pPr>
              <w:pStyle w:val="3"/>
              <w:spacing w:after="0" w:line="360" w:lineRule="exact"/>
              <w:ind w:firstLine="440" w:firstLineChars="200"/>
              <w:jc w:val="center"/>
              <w:rPr>
                <w:rFonts w:ascii="Times New Roman" w:hAnsi="Times New Roman" w:eastAsia="方正仿宋简体"/>
                <w:b w:val="0"/>
                <w:bCs w:val="0"/>
                <w:sz w:val="22"/>
                <w:szCs w:val="22"/>
              </w:rPr>
            </w:pPr>
          </w:p>
        </w:tc>
        <w:tc>
          <w:tcPr>
            <w:tcW w:w="1064" w:type="pct"/>
            <w:tcBorders>
              <w:top w:val="single" w:color="auto" w:sz="4" w:space="0"/>
              <w:left w:val="single" w:color="auto" w:sz="4" w:space="0"/>
              <w:bottom w:val="single" w:color="auto" w:sz="4" w:space="0"/>
              <w:right w:val="single" w:color="auto" w:sz="4" w:space="0"/>
            </w:tcBorders>
            <w:vAlign w:val="center"/>
          </w:tcPr>
          <w:p w14:paraId="063BA955">
            <w:pPr>
              <w:pStyle w:val="3"/>
              <w:spacing w:after="0" w:line="360" w:lineRule="exact"/>
              <w:ind w:firstLine="440" w:firstLineChars="200"/>
              <w:jc w:val="center"/>
              <w:rPr>
                <w:rFonts w:ascii="Times New Roman" w:hAnsi="Times New Roman" w:eastAsia="方正仿宋简体"/>
                <w:b w:val="0"/>
                <w:bCs w:val="0"/>
                <w:sz w:val="22"/>
                <w:szCs w:val="22"/>
              </w:rPr>
            </w:pPr>
          </w:p>
        </w:tc>
        <w:tc>
          <w:tcPr>
            <w:tcW w:w="1514" w:type="pct"/>
            <w:tcBorders>
              <w:top w:val="single" w:color="auto" w:sz="4" w:space="0"/>
              <w:left w:val="single" w:color="auto" w:sz="4" w:space="0"/>
              <w:bottom w:val="single" w:color="auto" w:sz="4" w:space="0"/>
              <w:right w:val="single" w:color="auto" w:sz="4" w:space="0"/>
            </w:tcBorders>
          </w:tcPr>
          <w:p w14:paraId="39DBCA44">
            <w:pPr>
              <w:pStyle w:val="3"/>
              <w:spacing w:after="0" w:line="360" w:lineRule="exact"/>
              <w:ind w:firstLine="440" w:firstLineChars="200"/>
              <w:jc w:val="center"/>
              <w:rPr>
                <w:rFonts w:ascii="Times New Roman" w:hAnsi="Times New Roman" w:eastAsia="方正仿宋简体"/>
                <w:b w:val="0"/>
                <w:bCs w:val="0"/>
                <w:sz w:val="22"/>
                <w:szCs w:val="22"/>
              </w:rPr>
            </w:pPr>
          </w:p>
        </w:tc>
      </w:tr>
      <w:tr w14:paraId="39863425">
        <w:tblPrEx>
          <w:tblCellMar>
            <w:top w:w="0" w:type="dxa"/>
            <w:left w:w="108" w:type="dxa"/>
            <w:bottom w:w="0" w:type="dxa"/>
            <w:right w:w="108" w:type="dxa"/>
          </w:tblCellMar>
        </w:tblPrEx>
        <w:trPr>
          <w:trHeight w:val="1285" w:hRule="atLeast"/>
          <w:jc w:val="center"/>
        </w:trPr>
        <w:tc>
          <w:tcPr>
            <w:tcW w:w="724" w:type="pct"/>
            <w:vMerge w:val="continue"/>
            <w:tcBorders>
              <w:left w:val="single" w:color="auto" w:sz="4" w:space="0"/>
              <w:bottom w:val="single" w:color="auto" w:sz="4" w:space="0"/>
              <w:right w:val="single" w:color="auto" w:sz="4" w:space="0"/>
            </w:tcBorders>
            <w:vAlign w:val="center"/>
          </w:tcPr>
          <w:p w14:paraId="45230881">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tcBorders>
              <w:top w:val="single" w:color="auto" w:sz="4" w:space="0"/>
              <w:left w:val="single" w:color="auto" w:sz="4" w:space="0"/>
              <w:bottom w:val="single" w:color="auto" w:sz="4" w:space="0"/>
              <w:right w:val="single" w:color="auto" w:sz="4" w:space="0"/>
            </w:tcBorders>
            <w:vAlign w:val="center"/>
          </w:tcPr>
          <w:p w14:paraId="6C0A205E">
            <w:pPr>
              <w:pStyle w:val="3"/>
              <w:spacing w:after="0" w:line="360" w:lineRule="exact"/>
              <w:ind w:firstLine="440" w:firstLineChars="200"/>
              <w:jc w:val="center"/>
              <w:rPr>
                <w:rFonts w:ascii="Times New Roman" w:hAnsi="Times New Roman" w:eastAsia="方正仿宋简体"/>
                <w:b w:val="0"/>
                <w:bCs w:val="0"/>
                <w:sz w:val="22"/>
                <w:szCs w:val="22"/>
              </w:rPr>
            </w:pPr>
          </w:p>
        </w:tc>
        <w:tc>
          <w:tcPr>
            <w:tcW w:w="848" w:type="pct"/>
            <w:tcBorders>
              <w:top w:val="single" w:color="auto" w:sz="4" w:space="0"/>
              <w:left w:val="single" w:color="auto" w:sz="4" w:space="0"/>
              <w:bottom w:val="single" w:color="auto" w:sz="4" w:space="0"/>
              <w:right w:val="single" w:color="auto" w:sz="4" w:space="0"/>
            </w:tcBorders>
            <w:vAlign w:val="center"/>
          </w:tcPr>
          <w:p w14:paraId="5B889861">
            <w:pPr>
              <w:pStyle w:val="3"/>
              <w:spacing w:after="0" w:line="360" w:lineRule="exact"/>
              <w:ind w:firstLine="440" w:firstLineChars="200"/>
              <w:jc w:val="center"/>
              <w:rPr>
                <w:rFonts w:ascii="Times New Roman" w:hAnsi="Times New Roman" w:eastAsia="方正仿宋简体"/>
                <w:b w:val="0"/>
                <w:bCs w:val="0"/>
                <w:sz w:val="22"/>
                <w:szCs w:val="22"/>
              </w:rPr>
            </w:pPr>
          </w:p>
        </w:tc>
        <w:tc>
          <w:tcPr>
            <w:tcW w:w="1064" w:type="pct"/>
            <w:tcBorders>
              <w:top w:val="single" w:color="auto" w:sz="4" w:space="0"/>
              <w:left w:val="single" w:color="auto" w:sz="4" w:space="0"/>
              <w:bottom w:val="single" w:color="auto" w:sz="4" w:space="0"/>
              <w:right w:val="single" w:color="auto" w:sz="4" w:space="0"/>
            </w:tcBorders>
            <w:vAlign w:val="center"/>
          </w:tcPr>
          <w:p w14:paraId="224AA02D">
            <w:pPr>
              <w:pStyle w:val="3"/>
              <w:spacing w:after="0" w:line="360" w:lineRule="exact"/>
              <w:ind w:firstLine="440" w:firstLineChars="200"/>
              <w:jc w:val="center"/>
              <w:rPr>
                <w:rFonts w:ascii="Times New Roman" w:hAnsi="Times New Roman" w:eastAsia="方正仿宋简体"/>
                <w:b w:val="0"/>
                <w:bCs w:val="0"/>
                <w:sz w:val="22"/>
                <w:szCs w:val="22"/>
              </w:rPr>
            </w:pPr>
          </w:p>
        </w:tc>
        <w:tc>
          <w:tcPr>
            <w:tcW w:w="1514" w:type="pct"/>
            <w:tcBorders>
              <w:top w:val="single" w:color="auto" w:sz="4" w:space="0"/>
              <w:left w:val="single" w:color="auto" w:sz="4" w:space="0"/>
              <w:bottom w:val="single" w:color="auto" w:sz="4" w:space="0"/>
              <w:right w:val="single" w:color="auto" w:sz="4" w:space="0"/>
            </w:tcBorders>
          </w:tcPr>
          <w:p w14:paraId="23EF9725">
            <w:pPr>
              <w:pStyle w:val="3"/>
              <w:spacing w:after="0" w:line="360" w:lineRule="exact"/>
              <w:ind w:firstLine="440" w:firstLineChars="200"/>
              <w:jc w:val="center"/>
              <w:rPr>
                <w:rFonts w:ascii="Times New Roman" w:hAnsi="Times New Roman" w:eastAsia="方正仿宋简体"/>
                <w:b w:val="0"/>
                <w:bCs w:val="0"/>
                <w:sz w:val="22"/>
                <w:szCs w:val="22"/>
              </w:rPr>
            </w:pPr>
          </w:p>
        </w:tc>
      </w:tr>
    </w:tbl>
    <w:p w14:paraId="6C8B30C7">
      <w:pPr>
        <w:spacing w:line="360" w:lineRule="exact"/>
        <w:ind w:firstLine="440" w:firstLineChars="200"/>
        <w:rPr>
          <w:rFonts w:ascii="Times New Roman" w:hAnsi="Times New Roman" w:eastAsia="方正仿宋简体" w:cs="Times New Roman"/>
          <w:sz w:val="22"/>
          <w:szCs w:val="22"/>
        </w:rPr>
      </w:pPr>
    </w:p>
    <w:p w14:paraId="32DB2B1E">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Note: Key pages of contracts and invoices shall be attached.</w:t>
      </w:r>
    </w:p>
    <w:p w14:paraId="07E2607F">
      <w:pPr>
        <w:spacing w:line="360" w:lineRule="exact"/>
        <w:ind w:firstLine="440" w:firstLineChars="200"/>
        <w:rPr>
          <w:rFonts w:ascii="Times New Roman" w:hAnsi="Times New Roman" w:eastAsia="方正仿宋简体" w:cs="Times New Roman"/>
          <w:sz w:val="22"/>
          <w:szCs w:val="22"/>
        </w:rPr>
        <w:sectPr>
          <w:pgSz w:w="11906" w:h="16838"/>
          <w:pgMar w:top="1440" w:right="1803" w:bottom="1440" w:left="1803" w:header="851" w:footer="992" w:gutter="0"/>
          <w:cols w:space="0" w:num="1"/>
          <w:docGrid w:type="lines" w:linePitch="319" w:charSpace="0"/>
        </w:sectPr>
      </w:pPr>
    </w:p>
    <w:p w14:paraId="56065792">
      <w:pPr>
        <w:pStyle w:val="3"/>
        <w:spacing w:after="0" w:line="360" w:lineRule="exact"/>
        <w:jc w:val="center"/>
        <w:rPr>
          <w:rFonts w:ascii="Times New Roman" w:hAnsi="Times New Roman" w:eastAsia="方正黑体简体"/>
          <w:sz w:val="22"/>
          <w:szCs w:val="22"/>
        </w:rPr>
      </w:pPr>
      <w:r>
        <w:rPr>
          <w:rFonts w:ascii="Times New Roman" w:hAnsi="Times New Roman" w:eastAsia="方正黑体简体"/>
          <w:sz w:val="22"/>
          <w:szCs w:val="22"/>
        </w:rPr>
        <w:t>TECHNICAL REQUIREMENTS</w:t>
      </w:r>
    </w:p>
    <w:p w14:paraId="4C5A6AB5">
      <w:pPr>
        <w:spacing w:line="360" w:lineRule="exact"/>
        <w:rPr>
          <w:rFonts w:ascii="Times New Roman" w:hAnsi="Times New Roman" w:eastAsia="方正仿宋简体" w:cs="Times New Roman"/>
          <w:sz w:val="22"/>
          <w:szCs w:val="22"/>
        </w:rPr>
      </w:pPr>
    </w:p>
    <w:p w14:paraId="43BC8675">
      <w:pPr>
        <w:numPr>
          <w:ilvl w:val="0"/>
          <w:numId w:val="4"/>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Equipment (Service) Requirements</w:t>
      </w:r>
    </w:p>
    <w:tbl>
      <w:tblPr>
        <w:tblStyle w:val="7"/>
        <w:tblW w:w="5000" w:type="pct"/>
        <w:tblInd w:w="0" w:type="dxa"/>
        <w:tblLayout w:type="fixed"/>
        <w:tblCellMar>
          <w:top w:w="0" w:type="dxa"/>
          <w:left w:w="108" w:type="dxa"/>
          <w:bottom w:w="0" w:type="dxa"/>
          <w:right w:w="108" w:type="dxa"/>
        </w:tblCellMar>
      </w:tblPr>
      <w:tblGrid>
        <w:gridCol w:w="851"/>
        <w:gridCol w:w="2272"/>
        <w:gridCol w:w="2448"/>
        <w:gridCol w:w="5880"/>
        <w:gridCol w:w="1095"/>
        <w:gridCol w:w="1628"/>
      </w:tblGrid>
      <w:tr w14:paraId="3A6B41BA">
        <w:tblPrEx>
          <w:tblCellMar>
            <w:top w:w="0" w:type="dxa"/>
            <w:left w:w="108" w:type="dxa"/>
            <w:bottom w:w="0" w:type="dxa"/>
            <w:right w:w="108" w:type="dxa"/>
          </w:tblCellMar>
        </w:tblPrEx>
        <w:trPr>
          <w:trHeight w:val="20" w:hRule="exact"/>
          <w:tblHeader/>
        </w:trPr>
        <w:tc>
          <w:tcPr>
            <w:tcW w:w="511" w:type="dxa"/>
            <w:vMerge w:val="restart"/>
            <w:tcBorders>
              <w:top w:val="single" w:color="auto" w:sz="4" w:space="0"/>
              <w:left w:val="single" w:color="auto" w:sz="4" w:space="0"/>
              <w:bottom w:val="single" w:color="auto" w:sz="4" w:space="0"/>
              <w:right w:val="single" w:color="auto" w:sz="4" w:space="0"/>
            </w:tcBorders>
            <w:vAlign w:val="center"/>
          </w:tcPr>
          <w:p w14:paraId="327F1524">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No.</w:t>
            </w:r>
          </w:p>
        </w:tc>
        <w:tc>
          <w:tcPr>
            <w:tcW w:w="1365" w:type="dxa"/>
            <w:vMerge w:val="restart"/>
            <w:tcBorders>
              <w:top w:val="single" w:color="auto" w:sz="4" w:space="0"/>
              <w:left w:val="single" w:color="auto" w:sz="4" w:space="0"/>
              <w:bottom w:val="single" w:color="auto" w:sz="4" w:space="0"/>
              <w:right w:val="single" w:color="auto" w:sz="4" w:space="0"/>
            </w:tcBorders>
            <w:vAlign w:val="center"/>
          </w:tcPr>
          <w:p w14:paraId="505AC95D">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Description</w:t>
            </w:r>
          </w:p>
        </w:tc>
        <w:tc>
          <w:tcPr>
            <w:tcW w:w="1471" w:type="dxa"/>
            <w:vMerge w:val="restart"/>
            <w:tcBorders>
              <w:top w:val="single" w:color="auto" w:sz="4" w:space="0"/>
              <w:left w:val="single" w:color="auto" w:sz="4" w:space="0"/>
              <w:bottom w:val="single" w:color="auto" w:sz="4" w:space="0"/>
              <w:right w:val="single" w:color="auto" w:sz="4" w:space="0"/>
            </w:tcBorders>
            <w:vAlign w:val="center"/>
          </w:tcPr>
          <w:p w14:paraId="45EBD2F8">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Specification</w:t>
            </w:r>
          </w:p>
        </w:tc>
        <w:tc>
          <w:tcPr>
            <w:tcW w:w="3533" w:type="dxa"/>
            <w:vMerge w:val="restart"/>
            <w:tcBorders>
              <w:top w:val="single" w:color="auto" w:sz="4" w:space="0"/>
              <w:left w:val="single" w:color="auto" w:sz="4" w:space="0"/>
              <w:bottom w:val="single" w:color="auto" w:sz="4" w:space="0"/>
              <w:right w:val="single" w:color="auto" w:sz="4" w:space="0"/>
            </w:tcBorders>
            <w:vAlign w:val="center"/>
          </w:tcPr>
          <w:p w14:paraId="03095A4D">
            <w:pPr>
              <w:widowControl/>
              <w:contextualSpacing/>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Remark</w:t>
            </w:r>
          </w:p>
        </w:tc>
        <w:tc>
          <w:tcPr>
            <w:tcW w:w="658" w:type="dxa"/>
            <w:vMerge w:val="restart"/>
            <w:tcBorders>
              <w:top w:val="single" w:color="auto" w:sz="4" w:space="0"/>
              <w:left w:val="single" w:color="auto" w:sz="4" w:space="0"/>
              <w:bottom w:val="single" w:color="auto" w:sz="4" w:space="0"/>
              <w:right w:val="single" w:color="auto" w:sz="4" w:space="0"/>
            </w:tcBorders>
            <w:vAlign w:val="center"/>
          </w:tcPr>
          <w:p w14:paraId="18D9E629">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Unit</w:t>
            </w:r>
          </w:p>
        </w:tc>
        <w:tc>
          <w:tcPr>
            <w:tcW w:w="978" w:type="dxa"/>
            <w:vMerge w:val="restart"/>
            <w:tcBorders>
              <w:top w:val="single" w:color="auto" w:sz="4" w:space="0"/>
              <w:left w:val="single" w:color="auto" w:sz="4" w:space="0"/>
              <w:bottom w:val="single" w:color="auto" w:sz="4" w:space="0"/>
              <w:right w:val="single" w:color="auto" w:sz="4" w:space="0"/>
            </w:tcBorders>
            <w:vAlign w:val="center"/>
          </w:tcPr>
          <w:p w14:paraId="7A5F707C">
            <w:pPr>
              <w:widowControl/>
              <w:jc w:val="center"/>
              <w:rPr>
                <w:rFonts w:ascii="Times New Roman" w:hAnsi="Times New Roman" w:eastAsia="宋体" w:cs="Times New Roman"/>
                <w:b/>
                <w:bCs/>
                <w:sz w:val="22"/>
                <w:szCs w:val="22"/>
              </w:rPr>
            </w:pPr>
            <w:r>
              <w:rPr>
                <w:rFonts w:ascii="Times New Roman" w:hAnsi="Times New Roman" w:eastAsia="宋体" w:cs="Times New Roman"/>
                <w:b/>
                <w:bCs/>
                <w:sz w:val="22"/>
                <w:szCs w:val="22"/>
              </w:rPr>
              <w:t xml:space="preserve">Estimated Qty. </w:t>
            </w:r>
          </w:p>
        </w:tc>
      </w:tr>
      <w:tr w14:paraId="573ADC45">
        <w:tblPrEx>
          <w:tblCellMar>
            <w:top w:w="0" w:type="dxa"/>
            <w:left w:w="108" w:type="dxa"/>
            <w:bottom w:w="0" w:type="dxa"/>
            <w:right w:w="108" w:type="dxa"/>
          </w:tblCellMar>
        </w:tblPrEx>
        <w:trPr>
          <w:cantSplit/>
          <w:trHeight w:val="360" w:hRule="atLeast"/>
          <w:tblHeader/>
        </w:trPr>
        <w:tc>
          <w:tcPr>
            <w:tcW w:w="511" w:type="dxa"/>
            <w:vMerge w:val="continue"/>
            <w:tcBorders>
              <w:top w:val="single" w:color="auto" w:sz="4" w:space="0"/>
              <w:left w:val="single" w:color="auto" w:sz="4" w:space="0"/>
              <w:bottom w:val="single" w:color="auto" w:sz="4" w:space="0"/>
              <w:right w:val="single" w:color="auto" w:sz="4" w:space="0"/>
            </w:tcBorders>
            <w:vAlign w:val="center"/>
          </w:tcPr>
          <w:p w14:paraId="3FC56000">
            <w:pPr>
              <w:widowControl/>
              <w:rPr>
                <w:rFonts w:ascii="Times New Roman" w:hAnsi="Times New Roman" w:eastAsia="宋体" w:cs="Times New Roman"/>
                <w:b/>
                <w:bCs/>
                <w:sz w:val="22"/>
                <w:szCs w:val="22"/>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14:paraId="1200BB44">
            <w:pPr>
              <w:widowControl/>
              <w:rPr>
                <w:rFonts w:ascii="Times New Roman" w:hAnsi="Times New Roman" w:eastAsia="宋体" w:cs="Times New Roman"/>
                <w:b/>
                <w:bCs/>
                <w:sz w:val="22"/>
                <w:szCs w:val="22"/>
              </w:rPr>
            </w:pPr>
          </w:p>
        </w:tc>
        <w:tc>
          <w:tcPr>
            <w:tcW w:w="1471" w:type="dxa"/>
            <w:vMerge w:val="continue"/>
            <w:tcBorders>
              <w:top w:val="single" w:color="auto" w:sz="4" w:space="0"/>
              <w:left w:val="single" w:color="auto" w:sz="4" w:space="0"/>
              <w:bottom w:val="single" w:color="auto" w:sz="4" w:space="0"/>
              <w:right w:val="single" w:color="auto" w:sz="4" w:space="0"/>
            </w:tcBorders>
            <w:vAlign w:val="center"/>
          </w:tcPr>
          <w:p w14:paraId="411CDC52">
            <w:pPr>
              <w:widowControl/>
              <w:rPr>
                <w:rFonts w:ascii="Times New Roman" w:hAnsi="Times New Roman" w:eastAsia="宋体" w:cs="Times New Roman"/>
                <w:b/>
                <w:bCs/>
                <w:sz w:val="22"/>
                <w:szCs w:val="22"/>
              </w:rPr>
            </w:pPr>
          </w:p>
        </w:tc>
        <w:tc>
          <w:tcPr>
            <w:tcW w:w="3533" w:type="dxa"/>
            <w:vMerge w:val="continue"/>
            <w:tcBorders>
              <w:top w:val="single" w:color="auto" w:sz="4" w:space="0"/>
              <w:left w:val="single" w:color="auto" w:sz="4" w:space="0"/>
              <w:bottom w:val="single" w:color="auto" w:sz="4" w:space="0"/>
              <w:right w:val="single" w:color="auto" w:sz="4" w:space="0"/>
            </w:tcBorders>
            <w:vAlign w:val="center"/>
          </w:tcPr>
          <w:p w14:paraId="0B3D0D9C">
            <w:pPr>
              <w:widowControl/>
              <w:rPr>
                <w:rFonts w:ascii="Times New Roman" w:hAnsi="Times New Roman" w:eastAsia="宋体" w:cs="Times New Roman"/>
                <w:b/>
                <w:bCs/>
                <w:sz w:val="22"/>
                <w:szCs w:val="22"/>
              </w:rPr>
            </w:pPr>
          </w:p>
        </w:tc>
        <w:tc>
          <w:tcPr>
            <w:tcW w:w="658" w:type="dxa"/>
            <w:vMerge w:val="continue"/>
            <w:tcBorders>
              <w:top w:val="single" w:color="auto" w:sz="4" w:space="0"/>
              <w:left w:val="single" w:color="auto" w:sz="4" w:space="0"/>
              <w:bottom w:val="single" w:color="auto" w:sz="4" w:space="0"/>
              <w:right w:val="single" w:color="auto" w:sz="4" w:space="0"/>
            </w:tcBorders>
            <w:vAlign w:val="center"/>
          </w:tcPr>
          <w:p w14:paraId="403FC8A7">
            <w:pPr>
              <w:widowControl/>
              <w:rPr>
                <w:rFonts w:ascii="Times New Roman" w:hAnsi="Times New Roman" w:eastAsia="宋体" w:cs="Times New Roman"/>
                <w:b/>
                <w:bCs/>
                <w:sz w:val="22"/>
                <w:szCs w:val="22"/>
              </w:rPr>
            </w:pPr>
          </w:p>
        </w:tc>
        <w:tc>
          <w:tcPr>
            <w:tcW w:w="978" w:type="dxa"/>
            <w:vMerge w:val="continue"/>
            <w:tcBorders>
              <w:top w:val="single" w:color="auto" w:sz="4" w:space="0"/>
              <w:left w:val="single" w:color="auto" w:sz="4" w:space="0"/>
              <w:bottom w:val="single" w:color="auto" w:sz="4" w:space="0"/>
              <w:right w:val="single" w:color="auto" w:sz="4" w:space="0"/>
            </w:tcBorders>
            <w:vAlign w:val="center"/>
          </w:tcPr>
          <w:p w14:paraId="6A01843C">
            <w:pPr>
              <w:widowControl/>
              <w:rPr>
                <w:rFonts w:ascii="Times New Roman" w:hAnsi="Times New Roman" w:eastAsia="宋体" w:cs="Times New Roman"/>
                <w:b/>
                <w:bCs/>
                <w:sz w:val="22"/>
                <w:szCs w:val="22"/>
              </w:rPr>
            </w:pPr>
          </w:p>
        </w:tc>
      </w:tr>
      <w:tr w14:paraId="314AC41D">
        <w:tblPrEx>
          <w:tblCellMar>
            <w:top w:w="0" w:type="dxa"/>
            <w:left w:w="108" w:type="dxa"/>
            <w:bottom w:w="0" w:type="dxa"/>
            <w:right w:w="108" w:type="dxa"/>
          </w:tblCellMar>
        </w:tblPrEx>
        <w:trPr>
          <w:cantSplit/>
          <w:trHeight w:val="322" w:hRule="atLeast"/>
          <w:tblHeader/>
        </w:trPr>
        <w:tc>
          <w:tcPr>
            <w:tcW w:w="511" w:type="dxa"/>
            <w:vMerge w:val="continue"/>
            <w:tcBorders>
              <w:top w:val="single" w:color="auto" w:sz="4" w:space="0"/>
              <w:left w:val="single" w:color="auto" w:sz="4" w:space="0"/>
              <w:bottom w:val="single" w:color="auto" w:sz="4" w:space="0"/>
              <w:right w:val="single" w:color="auto" w:sz="4" w:space="0"/>
            </w:tcBorders>
            <w:vAlign w:val="center"/>
          </w:tcPr>
          <w:p w14:paraId="0821212E">
            <w:pPr>
              <w:widowControl/>
              <w:rPr>
                <w:rFonts w:ascii="Times New Roman" w:hAnsi="Times New Roman" w:eastAsia="宋体" w:cs="Times New Roman"/>
                <w:b/>
                <w:bCs/>
                <w:sz w:val="22"/>
                <w:szCs w:val="22"/>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14:paraId="7A029A94">
            <w:pPr>
              <w:widowControl/>
              <w:rPr>
                <w:rFonts w:ascii="Times New Roman" w:hAnsi="Times New Roman" w:eastAsia="宋体" w:cs="Times New Roman"/>
                <w:b/>
                <w:bCs/>
                <w:sz w:val="22"/>
                <w:szCs w:val="22"/>
              </w:rPr>
            </w:pPr>
          </w:p>
        </w:tc>
        <w:tc>
          <w:tcPr>
            <w:tcW w:w="1471" w:type="dxa"/>
            <w:vMerge w:val="continue"/>
            <w:tcBorders>
              <w:top w:val="single" w:color="auto" w:sz="4" w:space="0"/>
              <w:left w:val="single" w:color="auto" w:sz="4" w:space="0"/>
              <w:bottom w:val="single" w:color="auto" w:sz="4" w:space="0"/>
              <w:right w:val="single" w:color="auto" w:sz="4" w:space="0"/>
            </w:tcBorders>
            <w:vAlign w:val="center"/>
          </w:tcPr>
          <w:p w14:paraId="50F11ACC">
            <w:pPr>
              <w:widowControl/>
              <w:rPr>
                <w:rFonts w:ascii="Times New Roman" w:hAnsi="Times New Roman" w:eastAsia="宋体" w:cs="Times New Roman"/>
                <w:b/>
                <w:bCs/>
                <w:sz w:val="22"/>
                <w:szCs w:val="22"/>
              </w:rPr>
            </w:pPr>
          </w:p>
        </w:tc>
        <w:tc>
          <w:tcPr>
            <w:tcW w:w="3533" w:type="dxa"/>
            <w:vMerge w:val="continue"/>
            <w:tcBorders>
              <w:top w:val="single" w:color="auto" w:sz="4" w:space="0"/>
              <w:left w:val="single" w:color="auto" w:sz="4" w:space="0"/>
              <w:bottom w:val="single" w:color="auto" w:sz="4" w:space="0"/>
              <w:right w:val="single" w:color="auto" w:sz="4" w:space="0"/>
            </w:tcBorders>
            <w:vAlign w:val="center"/>
          </w:tcPr>
          <w:p w14:paraId="4C9DE7D7">
            <w:pPr>
              <w:widowControl/>
              <w:rPr>
                <w:rFonts w:ascii="Times New Roman" w:hAnsi="Times New Roman" w:eastAsia="宋体" w:cs="Times New Roman"/>
                <w:b/>
                <w:bCs/>
                <w:sz w:val="22"/>
                <w:szCs w:val="22"/>
              </w:rPr>
            </w:pPr>
          </w:p>
        </w:tc>
        <w:tc>
          <w:tcPr>
            <w:tcW w:w="658" w:type="dxa"/>
            <w:vMerge w:val="continue"/>
            <w:tcBorders>
              <w:top w:val="single" w:color="auto" w:sz="4" w:space="0"/>
              <w:left w:val="single" w:color="auto" w:sz="4" w:space="0"/>
              <w:bottom w:val="single" w:color="auto" w:sz="4" w:space="0"/>
              <w:right w:val="single" w:color="auto" w:sz="4" w:space="0"/>
            </w:tcBorders>
            <w:vAlign w:val="center"/>
          </w:tcPr>
          <w:p w14:paraId="60D3F3E0">
            <w:pPr>
              <w:widowControl/>
              <w:rPr>
                <w:rFonts w:ascii="Times New Roman" w:hAnsi="Times New Roman" w:eastAsia="宋体" w:cs="Times New Roman"/>
                <w:b/>
                <w:bCs/>
                <w:sz w:val="22"/>
                <w:szCs w:val="22"/>
              </w:rPr>
            </w:pPr>
          </w:p>
        </w:tc>
        <w:tc>
          <w:tcPr>
            <w:tcW w:w="978" w:type="dxa"/>
            <w:vMerge w:val="continue"/>
            <w:tcBorders>
              <w:top w:val="single" w:color="auto" w:sz="4" w:space="0"/>
              <w:left w:val="single" w:color="auto" w:sz="4" w:space="0"/>
              <w:bottom w:val="single" w:color="auto" w:sz="4" w:space="0"/>
              <w:right w:val="single" w:color="auto" w:sz="4" w:space="0"/>
            </w:tcBorders>
            <w:vAlign w:val="center"/>
          </w:tcPr>
          <w:p w14:paraId="3E3FD13C">
            <w:pPr>
              <w:widowControl/>
              <w:rPr>
                <w:rFonts w:ascii="Times New Roman" w:hAnsi="Times New Roman" w:eastAsia="宋体" w:cs="Times New Roman"/>
                <w:b/>
                <w:bCs/>
                <w:sz w:val="22"/>
                <w:szCs w:val="22"/>
              </w:rPr>
            </w:pPr>
          </w:p>
        </w:tc>
      </w:tr>
      <w:tr w14:paraId="032377E6">
        <w:tblPrEx>
          <w:tblCellMar>
            <w:top w:w="0" w:type="dxa"/>
            <w:left w:w="108" w:type="dxa"/>
            <w:bottom w:w="0" w:type="dxa"/>
            <w:right w:w="108" w:type="dxa"/>
          </w:tblCellMar>
        </w:tblPrEx>
        <w:trPr>
          <w:cantSplit/>
        </w:trPr>
        <w:tc>
          <w:tcPr>
            <w:tcW w:w="511" w:type="dxa"/>
            <w:tcBorders>
              <w:top w:val="nil"/>
              <w:left w:val="single" w:color="auto" w:sz="4" w:space="0"/>
              <w:bottom w:val="single" w:color="auto" w:sz="4" w:space="0"/>
              <w:right w:val="single" w:color="auto" w:sz="4" w:space="0"/>
            </w:tcBorders>
            <w:vAlign w:val="center"/>
          </w:tcPr>
          <w:p w14:paraId="1C5253CB">
            <w:pPr>
              <w:widowControl/>
              <w:jc w:val="center"/>
              <w:textAlignment w:val="center"/>
              <w:rPr>
                <w:rFonts w:ascii="Times New Roman" w:hAnsi="Times New Roman" w:eastAsia="宋体" w:cs="Times New Roman"/>
                <w:sz w:val="20"/>
                <w:szCs w:val="20"/>
              </w:rPr>
            </w:pPr>
            <w:r>
              <w:rPr>
                <w:rFonts w:ascii="Times New Roman" w:hAnsi="Times New Roman" w:eastAsia="Arial Unicode MS" w:cs="Times New Roman"/>
                <w:sz w:val="20"/>
                <w:szCs w:val="20"/>
                <w:lang w:bidi="ar"/>
              </w:rPr>
              <w:t>1</w:t>
            </w:r>
          </w:p>
        </w:tc>
        <w:tc>
          <w:tcPr>
            <w:tcW w:w="1365" w:type="dxa"/>
            <w:tcBorders>
              <w:top w:val="nil"/>
              <w:left w:val="nil"/>
              <w:bottom w:val="single" w:color="auto" w:sz="4" w:space="0"/>
              <w:right w:val="single" w:color="auto" w:sz="4" w:space="0"/>
            </w:tcBorders>
            <w:vAlign w:val="center"/>
          </w:tcPr>
          <w:p w14:paraId="1D65629F">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1471" w:type="dxa"/>
            <w:tcBorders>
              <w:top w:val="nil"/>
              <w:left w:val="single" w:color="auto" w:sz="4" w:space="0"/>
              <w:bottom w:val="single" w:color="auto" w:sz="4" w:space="0"/>
              <w:right w:val="single" w:color="auto" w:sz="4" w:space="0"/>
            </w:tcBorders>
            <w:vAlign w:val="center"/>
          </w:tcPr>
          <w:p w14:paraId="5585395D">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MZD-1200/500Q</w:t>
            </w:r>
          </w:p>
        </w:tc>
        <w:tc>
          <w:tcPr>
            <w:tcW w:w="3533" w:type="dxa"/>
            <w:tcBorders>
              <w:top w:val="nil"/>
              <w:left w:val="nil"/>
              <w:bottom w:val="single" w:color="auto" w:sz="4" w:space="0"/>
              <w:right w:val="single" w:color="auto" w:sz="4" w:space="0"/>
            </w:tcBorders>
            <w:vAlign w:val="center"/>
          </w:tcPr>
          <w:p w14:paraId="72F68930">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Membrane tube model: MNH-4160A</w:t>
            </w:r>
          </w:p>
          <w:p w14:paraId="76F9DF8F">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Quantity: 18 pieces Medium: Air</w:t>
            </w:r>
          </w:p>
          <w:p w14:paraId="6B026B28">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Intake air temperature: 55°C, Intake pressure: 15 bar</w:t>
            </w:r>
          </w:p>
          <w:p w14:paraId="56D5C142">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Single processing capacity of nitrogen extraction: 70 Nm³/h</w:t>
            </w:r>
          </w:p>
          <w:p w14:paraId="6163F830">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Length: 1580 mm, Diameter: 160 mm</w:t>
            </w:r>
          </w:p>
          <w:p w14:paraId="533522E7">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Weight: 18 kg, Air inlet: Rc1" (PT)</w:t>
            </w:r>
          </w:p>
          <w:p w14:paraId="3888CD1D">
            <w:pPr>
              <w:widowControl/>
              <w:jc w:val="left"/>
              <w:textAlignment w:val="center"/>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N₂ product outlet: Rc1" (PT), Sealing O‑Ring: NBR</w:t>
            </w:r>
          </w:p>
        </w:tc>
        <w:tc>
          <w:tcPr>
            <w:tcW w:w="658" w:type="dxa"/>
            <w:tcBorders>
              <w:top w:val="nil"/>
              <w:left w:val="nil"/>
              <w:bottom w:val="single" w:color="auto" w:sz="4" w:space="0"/>
              <w:right w:val="single" w:color="auto" w:sz="4" w:space="0"/>
            </w:tcBorders>
            <w:vAlign w:val="center"/>
          </w:tcPr>
          <w:p w14:paraId="7331992A">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978" w:type="dxa"/>
            <w:tcBorders>
              <w:top w:val="nil"/>
              <w:left w:val="nil"/>
              <w:bottom w:val="single" w:color="auto" w:sz="4" w:space="0"/>
              <w:right w:val="single" w:color="auto" w:sz="4" w:space="0"/>
            </w:tcBorders>
            <w:noWrap/>
            <w:vAlign w:val="center"/>
          </w:tcPr>
          <w:p w14:paraId="50CDD2F9">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2</w:t>
            </w:r>
          </w:p>
        </w:tc>
      </w:tr>
      <w:tr w14:paraId="1D1FEEA7">
        <w:tblPrEx>
          <w:tblCellMar>
            <w:top w:w="0" w:type="dxa"/>
            <w:left w:w="108" w:type="dxa"/>
            <w:bottom w:w="0" w:type="dxa"/>
            <w:right w:w="108" w:type="dxa"/>
          </w:tblCellMar>
        </w:tblPrEx>
        <w:trPr>
          <w:cantSplit/>
        </w:trPr>
        <w:tc>
          <w:tcPr>
            <w:tcW w:w="511" w:type="dxa"/>
            <w:tcBorders>
              <w:top w:val="single" w:color="auto" w:sz="4" w:space="0"/>
              <w:left w:val="single" w:color="auto" w:sz="4" w:space="0"/>
              <w:bottom w:val="single" w:color="auto" w:sz="4" w:space="0"/>
              <w:right w:val="single" w:color="auto" w:sz="4" w:space="0"/>
            </w:tcBorders>
            <w:vAlign w:val="center"/>
          </w:tcPr>
          <w:p w14:paraId="02BB5314">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2</w:t>
            </w:r>
          </w:p>
        </w:tc>
        <w:tc>
          <w:tcPr>
            <w:tcW w:w="1365" w:type="dxa"/>
            <w:tcBorders>
              <w:top w:val="single" w:color="auto" w:sz="4" w:space="0"/>
              <w:left w:val="nil"/>
              <w:bottom w:val="single" w:color="auto" w:sz="4" w:space="0"/>
              <w:right w:val="single" w:color="auto" w:sz="4" w:space="0"/>
            </w:tcBorders>
            <w:vAlign w:val="center"/>
          </w:tcPr>
          <w:p w14:paraId="676ED34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1471" w:type="dxa"/>
            <w:tcBorders>
              <w:top w:val="single" w:color="auto" w:sz="4" w:space="0"/>
              <w:left w:val="single" w:color="auto" w:sz="4" w:space="0"/>
              <w:bottom w:val="single" w:color="auto" w:sz="4" w:space="0"/>
              <w:right w:val="single" w:color="auto" w:sz="4" w:space="0"/>
            </w:tcBorders>
            <w:vAlign w:val="center"/>
          </w:tcPr>
          <w:p w14:paraId="21AD01D1">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MZD-1200/500Q</w:t>
            </w:r>
          </w:p>
        </w:tc>
        <w:tc>
          <w:tcPr>
            <w:tcW w:w="3533" w:type="dxa"/>
            <w:tcBorders>
              <w:top w:val="single" w:color="auto" w:sz="4" w:space="0"/>
              <w:left w:val="nil"/>
              <w:bottom w:val="single" w:color="auto" w:sz="4" w:space="0"/>
              <w:right w:val="single" w:color="auto" w:sz="4" w:space="0"/>
            </w:tcBorders>
            <w:vAlign w:val="center"/>
          </w:tcPr>
          <w:p w14:paraId="052B80C0">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inlet and outlet manifolds are made of stainless steel 304.</w:t>
            </w:r>
          </w:p>
          <w:p w14:paraId="70F706B6">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group frame is made of 63 (80) grade channel steel. After the frame is welded, it needs to be sandblasted and painted.</w:t>
            </w:r>
          </w:p>
          <w:p w14:paraId="4FC96076">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tube joint and the manifold joint are made of stainless steel 304.</w:t>
            </w:r>
          </w:p>
          <w:p w14:paraId="7B8681E1">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diameter of the membrane tube clamp is 160, ranging from M10 to M12.</w:t>
            </w:r>
          </w:p>
          <w:p w14:paraId="72318DF8">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crimping joint is galvanized or stainless steel, with a pressure greater than 4 MPa.</w:t>
            </w:r>
          </w:p>
          <w:p w14:paraId="72205F66">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rubber hose is made of double-layer steel wire and can withstand a pressure greater than 4 MPa.</w:t>
            </w:r>
          </w:p>
          <w:p w14:paraId="5EF8B314">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Oxygen-enriched venting shall use stainless steel pipes with a diameter of 98.</w:t>
            </w:r>
          </w:p>
        </w:tc>
        <w:tc>
          <w:tcPr>
            <w:tcW w:w="658" w:type="dxa"/>
            <w:tcBorders>
              <w:top w:val="single" w:color="auto" w:sz="4" w:space="0"/>
              <w:left w:val="nil"/>
              <w:bottom w:val="single" w:color="auto" w:sz="4" w:space="0"/>
              <w:right w:val="single" w:color="auto" w:sz="4" w:space="0"/>
            </w:tcBorders>
            <w:vAlign w:val="center"/>
          </w:tcPr>
          <w:p w14:paraId="05FAFD2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978" w:type="dxa"/>
            <w:tcBorders>
              <w:top w:val="single" w:color="auto" w:sz="4" w:space="0"/>
              <w:left w:val="nil"/>
              <w:bottom w:val="single" w:color="auto" w:sz="4" w:space="0"/>
              <w:right w:val="single" w:color="auto" w:sz="4" w:space="0"/>
            </w:tcBorders>
            <w:noWrap/>
            <w:vAlign w:val="center"/>
          </w:tcPr>
          <w:p w14:paraId="08CF8B4E">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2</w:t>
            </w:r>
          </w:p>
        </w:tc>
      </w:tr>
      <w:tr w14:paraId="39592DCC">
        <w:tblPrEx>
          <w:tblCellMar>
            <w:top w:w="0" w:type="dxa"/>
            <w:left w:w="108" w:type="dxa"/>
            <w:bottom w:w="0" w:type="dxa"/>
            <w:right w:w="108" w:type="dxa"/>
          </w:tblCellMar>
        </w:tblPrEx>
        <w:trPr>
          <w:cantSplit/>
        </w:trPr>
        <w:tc>
          <w:tcPr>
            <w:tcW w:w="511" w:type="dxa"/>
            <w:tcBorders>
              <w:top w:val="single" w:color="auto" w:sz="4" w:space="0"/>
              <w:left w:val="single" w:color="auto" w:sz="4" w:space="0"/>
              <w:bottom w:val="single" w:color="auto" w:sz="4" w:space="0"/>
              <w:right w:val="single" w:color="auto" w:sz="4" w:space="0"/>
            </w:tcBorders>
            <w:vAlign w:val="center"/>
          </w:tcPr>
          <w:p w14:paraId="6D1342CC">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3</w:t>
            </w:r>
          </w:p>
        </w:tc>
        <w:tc>
          <w:tcPr>
            <w:tcW w:w="1365" w:type="dxa"/>
            <w:tcBorders>
              <w:top w:val="single" w:color="auto" w:sz="4" w:space="0"/>
              <w:left w:val="nil"/>
              <w:bottom w:val="single" w:color="auto" w:sz="4" w:space="0"/>
              <w:right w:val="single" w:color="auto" w:sz="4" w:space="0"/>
            </w:tcBorders>
            <w:vAlign w:val="center"/>
          </w:tcPr>
          <w:p w14:paraId="16F68CEA">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1471" w:type="dxa"/>
            <w:tcBorders>
              <w:top w:val="single" w:color="auto" w:sz="4" w:space="0"/>
              <w:left w:val="single" w:color="auto" w:sz="4" w:space="0"/>
              <w:bottom w:val="single" w:color="auto" w:sz="4" w:space="0"/>
              <w:right w:val="single" w:color="auto" w:sz="4" w:space="0"/>
            </w:tcBorders>
            <w:vAlign w:val="center"/>
          </w:tcPr>
          <w:p w14:paraId="0B88A9C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MZD-1200/350C</w:t>
            </w:r>
          </w:p>
        </w:tc>
        <w:tc>
          <w:tcPr>
            <w:tcW w:w="3533" w:type="dxa"/>
            <w:tcBorders>
              <w:top w:val="single" w:color="auto" w:sz="4" w:space="0"/>
              <w:left w:val="nil"/>
              <w:bottom w:val="single" w:color="auto" w:sz="4" w:space="0"/>
              <w:right w:val="single" w:color="auto" w:sz="4" w:space="0"/>
            </w:tcBorders>
            <w:vAlign w:val="center"/>
          </w:tcPr>
          <w:p w14:paraId="14E5F6AF">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Membrane tube model: MNH-4160A</w:t>
            </w:r>
          </w:p>
          <w:p w14:paraId="553564AD">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Quantity: 18 pieces, Medium: Air</w:t>
            </w:r>
          </w:p>
          <w:p w14:paraId="7C641729">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Intake air temperature: 55°C, Intake pressure: 15 bar</w:t>
            </w:r>
          </w:p>
          <w:p w14:paraId="26D989B1">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Single processing capacity of nitrogen extraction: 70 Nm³/h</w:t>
            </w:r>
          </w:p>
          <w:p w14:paraId="02840047">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Length: 1580 mm, Diameter: 160 mm</w:t>
            </w:r>
          </w:p>
          <w:p w14:paraId="1D0B6761">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Weight: 18 kg, Air inlet: Rc1" (PT)</w:t>
            </w:r>
          </w:p>
          <w:p w14:paraId="5989C7EF">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N₂ product outlet: Rc1" (PT), Sealing O-Ring: NBR</w:t>
            </w:r>
          </w:p>
        </w:tc>
        <w:tc>
          <w:tcPr>
            <w:tcW w:w="658" w:type="dxa"/>
            <w:tcBorders>
              <w:top w:val="single" w:color="auto" w:sz="4" w:space="0"/>
              <w:left w:val="nil"/>
              <w:bottom w:val="single" w:color="auto" w:sz="4" w:space="0"/>
              <w:right w:val="single" w:color="auto" w:sz="4" w:space="0"/>
            </w:tcBorders>
            <w:vAlign w:val="center"/>
          </w:tcPr>
          <w:p w14:paraId="15C8088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978" w:type="dxa"/>
            <w:tcBorders>
              <w:top w:val="single" w:color="auto" w:sz="4" w:space="0"/>
              <w:left w:val="nil"/>
              <w:bottom w:val="single" w:color="auto" w:sz="4" w:space="0"/>
              <w:right w:val="single" w:color="auto" w:sz="4" w:space="0"/>
            </w:tcBorders>
            <w:noWrap/>
            <w:vAlign w:val="center"/>
          </w:tcPr>
          <w:p w14:paraId="35FCABD7">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r w14:paraId="2C4C21EE">
        <w:tblPrEx>
          <w:tblCellMar>
            <w:top w:w="0" w:type="dxa"/>
            <w:left w:w="108" w:type="dxa"/>
            <w:bottom w:w="0" w:type="dxa"/>
            <w:right w:w="108" w:type="dxa"/>
          </w:tblCellMar>
        </w:tblPrEx>
        <w:trPr>
          <w:cantSplit/>
        </w:trPr>
        <w:tc>
          <w:tcPr>
            <w:tcW w:w="511" w:type="dxa"/>
            <w:tcBorders>
              <w:top w:val="single" w:color="auto" w:sz="4" w:space="0"/>
              <w:left w:val="single" w:color="auto" w:sz="4" w:space="0"/>
              <w:bottom w:val="single" w:color="auto" w:sz="4" w:space="0"/>
              <w:right w:val="single" w:color="auto" w:sz="4" w:space="0"/>
            </w:tcBorders>
            <w:vAlign w:val="center"/>
          </w:tcPr>
          <w:p w14:paraId="2D3ECB05">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4</w:t>
            </w:r>
          </w:p>
        </w:tc>
        <w:tc>
          <w:tcPr>
            <w:tcW w:w="1365" w:type="dxa"/>
            <w:tcBorders>
              <w:top w:val="single" w:color="auto" w:sz="4" w:space="0"/>
              <w:left w:val="nil"/>
              <w:bottom w:val="single" w:color="auto" w:sz="4" w:space="0"/>
              <w:right w:val="single" w:color="auto" w:sz="4" w:space="0"/>
            </w:tcBorders>
            <w:vAlign w:val="center"/>
          </w:tcPr>
          <w:p w14:paraId="5CFF4579">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1471" w:type="dxa"/>
            <w:tcBorders>
              <w:top w:val="single" w:color="auto" w:sz="4" w:space="0"/>
              <w:left w:val="single" w:color="auto" w:sz="4" w:space="0"/>
              <w:bottom w:val="single" w:color="auto" w:sz="4" w:space="0"/>
              <w:right w:val="single" w:color="auto" w:sz="4" w:space="0"/>
            </w:tcBorders>
            <w:vAlign w:val="center"/>
          </w:tcPr>
          <w:p w14:paraId="481917CF">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MZD-1200/350C</w:t>
            </w:r>
          </w:p>
        </w:tc>
        <w:tc>
          <w:tcPr>
            <w:tcW w:w="3533" w:type="dxa"/>
            <w:tcBorders>
              <w:top w:val="single" w:color="auto" w:sz="4" w:space="0"/>
              <w:left w:val="nil"/>
              <w:bottom w:val="single" w:color="auto" w:sz="4" w:space="0"/>
              <w:right w:val="single" w:color="auto" w:sz="4" w:space="0"/>
            </w:tcBorders>
            <w:vAlign w:val="center"/>
          </w:tcPr>
          <w:p w14:paraId="05B34CC6">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inlet and outlet manifolds are made of stainless steel 304.</w:t>
            </w:r>
          </w:p>
          <w:p w14:paraId="4A9502F9">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group frame is made of 63 (80) grade channel steel. After the frame is welded, it needs to be sandblasted and painted.</w:t>
            </w:r>
          </w:p>
          <w:p w14:paraId="519FE964">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tube joint and the manifold joint are made of stainless steel 304.</w:t>
            </w:r>
          </w:p>
          <w:p w14:paraId="7EC9807C">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diameter of the membrane tube clamp is 160, ranging from M10 to M12.</w:t>
            </w:r>
          </w:p>
          <w:p w14:paraId="1353091D">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crimping joint is galvanized or stainless steel, with a pressure greater than 4 MPa.</w:t>
            </w:r>
          </w:p>
          <w:p w14:paraId="73915EF2">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rubber hose is made of double-layer steel wire and can withstand a pressure greater than 4 MPa.</w:t>
            </w:r>
          </w:p>
          <w:p w14:paraId="2AF459B5">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Oxygen-enriched venting shall use stainless steel pipes with a diameter of 98.</w:t>
            </w:r>
          </w:p>
        </w:tc>
        <w:tc>
          <w:tcPr>
            <w:tcW w:w="658" w:type="dxa"/>
            <w:tcBorders>
              <w:top w:val="single" w:color="auto" w:sz="4" w:space="0"/>
              <w:left w:val="nil"/>
              <w:bottom w:val="single" w:color="auto" w:sz="4" w:space="0"/>
              <w:right w:val="single" w:color="auto" w:sz="4" w:space="0"/>
            </w:tcBorders>
            <w:vAlign w:val="center"/>
          </w:tcPr>
          <w:p w14:paraId="7B224EE4">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978" w:type="dxa"/>
            <w:tcBorders>
              <w:top w:val="single" w:color="auto" w:sz="4" w:space="0"/>
              <w:left w:val="nil"/>
              <w:bottom w:val="single" w:color="auto" w:sz="4" w:space="0"/>
              <w:right w:val="single" w:color="auto" w:sz="4" w:space="0"/>
            </w:tcBorders>
            <w:noWrap/>
            <w:vAlign w:val="center"/>
          </w:tcPr>
          <w:p w14:paraId="6E396E5F">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r w14:paraId="53CD8243">
        <w:tblPrEx>
          <w:tblCellMar>
            <w:top w:w="0" w:type="dxa"/>
            <w:left w:w="108" w:type="dxa"/>
            <w:bottom w:w="0" w:type="dxa"/>
            <w:right w:w="108" w:type="dxa"/>
          </w:tblCellMar>
        </w:tblPrEx>
        <w:trPr>
          <w:cantSplit/>
        </w:trPr>
        <w:tc>
          <w:tcPr>
            <w:tcW w:w="511" w:type="dxa"/>
            <w:tcBorders>
              <w:top w:val="single" w:color="auto" w:sz="4" w:space="0"/>
              <w:left w:val="single" w:color="auto" w:sz="4" w:space="0"/>
              <w:bottom w:val="single" w:color="auto" w:sz="4" w:space="0"/>
              <w:right w:val="single" w:color="auto" w:sz="4" w:space="0"/>
            </w:tcBorders>
            <w:vAlign w:val="center"/>
          </w:tcPr>
          <w:p w14:paraId="7FBE8531">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5</w:t>
            </w:r>
          </w:p>
        </w:tc>
        <w:tc>
          <w:tcPr>
            <w:tcW w:w="1365" w:type="dxa"/>
            <w:tcBorders>
              <w:top w:val="single" w:color="auto" w:sz="4" w:space="0"/>
              <w:left w:val="nil"/>
              <w:bottom w:val="single" w:color="auto" w:sz="4" w:space="0"/>
              <w:right w:val="single" w:color="auto" w:sz="4" w:space="0"/>
            </w:tcBorders>
            <w:vAlign w:val="center"/>
          </w:tcPr>
          <w:p w14:paraId="4B08B1EB">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w:t>
            </w:r>
          </w:p>
        </w:tc>
        <w:tc>
          <w:tcPr>
            <w:tcW w:w="1471" w:type="dxa"/>
            <w:tcBorders>
              <w:top w:val="single" w:color="auto" w:sz="4" w:space="0"/>
              <w:left w:val="single" w:color="auto" w:sz="4" w:space="0"/>
              <w:bottom w:val="single" w:color="auto" w:sz="4" w:space="0"/>
              <w:right w:val="single" w:color="auto" w:sz="4" w:space="0"/>
            </w:tcBorders>
            <w:vAlign w:val="center"/>
          </w:tcPr>
          <w:p w14:paraId="279E6DCC">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MZD-1000/500Q</w:t>
            </w:r>
          </w:p>
        </w:tc>
        <w:tc>
          <w:tcPr>
            <w:tcW w:w="3533" w:type="dxa"/>
            <w:tcBorders>
              <w:top w:val="single" w:color="auto" w:sz="4" w:space="0"/>
              <w:left w:val="nil"/>
              <w:bottom w:val="single" w:color="auto" w:sz="4" w:space="0"/>
              <w:right w:val="single" w:color="auto" w:sz="4" w:space="0"/>
            </w:tcBorders>
            <w:vAlign w:val="center"/>
          </w:tcPr>
          <w:p w14:paraId="03E6F465">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Membrane tube model: MNH-4160A</w:t>
            </w:r>
          </w:p>
          <w:p w14:paraId="4E3A6C88">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Quantity: 16 pieces, Medium: Air</w:t>
            </w:r>
          </w:p>
          <w:p w14:paraId="32626CD5">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Intake air temperature: 55°C, Intake pressure: 15 bar</w:t>
            </w:r>
          </w:p>
          <w:p w14:paraId="04F5EF8A">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Single processing capacity of nitrogen extraction: 70 Nm³/h</w:t>
            </w:r>
          </w:p>
          <w:p w14:paraId="69F33189">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Length: 1580 mm, Diameter: 160 mm</w:t>
            </w:r>
          </w:p>
          <w:p w14:paraId="31C03BA6">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Weight: 18 kg, Air inlet: Rc1" (PT)</w:t>
            </w:r>
          </w:p>
          <w:p w14:paraId="36BD11D8">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N₂ product outlet: Rc1" (PT), Sealing O-Ring: NBR</w:t>
            </w:r>
          </w:p>
        </w:tc>
        <w:tc>
          <w:tcPr>
            <w:tcW w:w="658" w:type="dxa"/>
            <w:tcBorders>
              <w:top w:val="single" w:color="auto" w:sz="4" w:space="0"/>
              <w:left w:val="nil"/>
              <w:bottom w:val="single" w:color="auto" w:sz="4" w:space="0"/>
              <w:right w:val="single" w:color="auto" w:sz="4" w:space="0"/>
            </w:tcBorders>
            <w:vAlign w:val="center"/>
          </w:tcPr>
          <w:p w14:paraId="0E624A5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978" w:type="dxa"/>
            <w:tcBorders>
              <w:top w:val="single" w:color="auto" w:sz="4" w:space="0"/>
              <w:left w:val="nil"/>
              <w:bottom w:val="single" w:color="auto" w:sz="4" w:space="0"/>
              <w:right w:val="single" w:color="auto" w:sz="4" w:space="0"/>
            </w:tcBorders>
            <w:noWrap/>
            <w:vAlign w:val="center"/>
          </w:tcPr>
          <w:p w14:paraId="6BCA87ED">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r w14:paraId="780022DB">
        <w:tblPrEx>
          <w:tblCellMar>
            <w:top w:w="0" w:type="dxa"/>
            <w:left w:w="108" w:type="dxa"/>
            <w:bottom w:w="0" w:type="dxa"/>
            <w:right w:w="108" w:type="dxa"/>
          </w:tblCellMar>
        </w:tblPrEx>
        <w:trPr>
          <w:cantSplit/>
        </w:trPr>
        <w:tc>
          <w:tcPr>
            <w:tcW w:w="511" w:type="dxa"/>
            <w:tcBorders>
              <w:top w:val="single" w:color="auto" w:sz="4" w:space="0"/>
              <w:left w:val="single" w:color="auto" w:sz="4" w:space="0"/>
              <w:bottom w:val="single" w:color="auto" w:sz="4" w:space="0"/>
              <w:right w:val="single" w:color="auto" w:sz="4" w:space="0"/>
            </w:tcBorders>
            <w:vAlign w:val="center"/>
          </w:tcPr>
          <w:p w14:paraId="0E0B253A">
            <w:pPr>
              <w:widowControl/>
              <w:jc w:val="center"/>
              <w:textAlignment w:val="center"/>
              <w:rPr>
                <w:rFonts w:ascii="Times New Roman" w:hAnsi="Times New Roman" w:eastAsia="Arial Unicode MS" w:cs="Times New Roman"/>
                <w:sz w:val="20"/>
                <w:szCs w:val="20"/>
                <w:lang w:bidi="ar"/>
              </w:rPr>
            </w:pPr>
            <w:r>
              <w:rPr>
                <w:rFonts w:ascii="Times New Roman" w:hAnsi="Times New Roman" w:eastAsia="Arial Unicode MS" w:cs="Times New Roman"/>
                <w:sz w:val="20"/>
                <w:szCs w:val="20"/>
                <w:lang w:bidi="ar"/>
              </w:rPr>
              <w:t>6</w:t>
            </w:r>
          </w:p>
        </w:tc>
        <w:tc>
          <w:tcPr>
            <w:tcW w:w="1365" w:type="dxa"/>
            <w:tcBorders>
              <w:top w:val="single" w:color="auto" w:sz="4" w:space="0"/>
              <w:left w:val="nil"/>
              <w:bottom w:val="single" w:color="auto" w:sz="4" w:space="0"/>
              <w:right w:val="single" w:color="auto" w:sz="4" w:space="0"/>
            </w:tcBorders>
            <w:vAlign w:val="center"/>
          </w:tcPr>
          <w:p w14:paraId="5C9FD03A">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Membrane Tube Frame</w:t>
            </w:r>
          </w:p>
        </w:tc>
        <w:tc>
          <w:tcPr>
            <w:tcW w:w="1471" w:type="dxa"/>
            <w:tcBorders>
              <w:top w:val="single" w:color="auto" w:sz="4" w:space="0"/>
              <w:left w:val="single" w:color="auto" w:sz="4" w:space="0"/>
              <w:bottom w:val="single" w:color="auto" w:sz="4" w:space="0"/>
              <w:right w:val="single" w:color="auto" w:sz="4" w:space="0"/>
            </w:tcBorders>
            <w:vAlign w:val="center"/>
          </w:tcPr>
          <w:p w14:paraId="7A0416B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MZD-1000/500Q</w:t>
            </w:r>
          </w:p>
        </w:tc>
        <w:tc>
          <w:tcPr>
            <w:tcW w:w="3533" w:type="dxa"/>
            <w:tcBorders>
              <w:top w:val="single" w:color="auto" w:sz="4" w:space="0"/>
              <w:left w:val="nil"/>
              <w:bottom w:val="single" w:color="auto" w:sz="4" w:space="0"/>
              <w:right w:val="single" w:color="auto" w:sz="4" w:space="0"/>
            </w:tcBorders>
            <w:vAlign w:val="center"/>
          </w:tcPr>
          <w:p w14:paraId="09E83590">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inlet and outlet manifolds are made of stainless steel 304.</w:t>
            </w:r>
          </w:p>
          <w:p w14:paraId="2C5B8917">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group frame is made of 63 (80) grade channel steel. After the frame is welded, it needs to be sandblasted and painted.</w:t>
            </w:r>
          </w:p>
          <w:p w14:paraId="4EA6FE89">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membrane tube joint and the manifold joint are made of stainless steel 304.</w:t>
            </w:r>
          </w:p>
          <w:p w14:paraId="777FBD09">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diameter of the membrane tube clamp is 160, ranging from M10 to M12.</w:t>
            </w:r>
          </w:p>
          <w:p w14:paraId="7A83F85A">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crimping joint is galvanized or stainless steel, with a pressure greater than 4 MPa.</w:t>
            </w:r>
          </w:p>
          <w:p w14:paraId="33DB9F17">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The rubber hose is made of double-layer steel wire and can withstand a pressure greater than 4 MPa.</w:t>
            </w:r>
          </w:p>
          <w:p w14:paraId="0B72FBB7">
            <w:pPr>
              <w:widowControl/>
              <w:textAlignment w:val="center"/>
              <w:rPr>
                <w:rFonts w:ascii="Times New Roman" w:hAnsi="Times New Roman" w:eastAsia="宋体" w:cs="Times New Roman"/>
                <w:sz w:val="20"/>
                <w:szCs w:val="20"/>
              </w:rPr>
            </w:pPr>
            <w:r>
              <w:rPr>
                <w:rFonts w:ascii="Times New Roman" w:hAnsi="Times New Roman" w:eastAsia="宋体" w:cs="Times New Roman"/>
                <w:sz w:val="20"/>
                <w:szCs w:val="20"/>
              </w:rPr>
              <w:t>Oxygen-enriched venting shall use stainless steel pipes with a diameter of 98.</w:t>
            </w:r>
          </w:p>
        </w:tc>
        <w:tc>
          <w:tcPr>
            <w:tcW w:w="658" w:type="dxa"/>
            <w:tcBorders>
              <w:top w:val="single" w:color="auto" w:sz="4" w:space="0"/>
              <w:left w:val="nil"/>
              <w:bottom w:val="single" w:color="auto" w:sz="4" w:space="0"/>
              <w:right w:val="single" w:color="auto" w:sz="4" w:space="0"/>
            </w:tcBorders>
            <w:vAlign w:val="center"/>
          </w:tcPr>
          <w:p w14:paraId="552F6476">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rPr>
              <w:t>Set</w:t>
            </w:r>
          </w:p>
        </w:tc>
        <w:tc>
          <w:tcPr>
            <w:tcW w:w="978" w:type="dxa"/>
            <w:tcBorders>
              <w:top w:val="single" w:color="auto" w:sz="4" w:space="0"/>
              <w:left w:val="nil"/>
              <w:bottom w:val="single" w:color="auto" w:sz="4" w:space="0"/>
              <w:right w:val="single" w:color="auto" w:sz="4" w:space="0"/>
            </w:tcBorders>
            <w:noWrap/>
            <w:vAlign w:val="center"/>
          </w:tcPr>
          <w:p w14:paraId="162DD990">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sz w:val="20"/>
                <w:szCs w:val="20"/>
                <w:lang w:bidi="ar"/>
              </w:rPr>
              <w:t>1</w:t>
            </w:r>
          </w:p>
        </w:tc>
      </w:tr>
    </w:tbl>
    <w:p w14:paraId="38461894">
      <w:pPr>
        <w:spacing w:line="360" w:lineRule="exact"/>
        <w:rPr>
          <w:rFonts w:ascii="Times New Roman" w:hAnsi="Times New Roman" w:eastAsia="方正仿宋简体" w:cs="Times New Roman"/>
          <w:b/>
          <w:bCs/>
          <w:sz w:val="22"/>
          <w:szCs w:val="22"/>
        </w:rPr>
      </w:pPr>
    </w:p>
    <w:p w14:paraId="7429CAB1">
      <w:pPr>
        <w:numPr>
          <w:ilvl w:val="0"/>
          <w:numId w:val="4"/>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The Supplier shall strictly comply with API standards in manufacturing and supply. Detailed technical parameters and requirements are set forth in the attached Technical Specifications for the Required Materials.</w:t>
      </w:r>
    </w:p>
    <w:p w14:paraId="0251DBD8">
      <w:pPr>
        <w:numPr>
          <w:ilvl w:val="0"/>
          <w:numId w:val="4"/>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Delivery and Transportation：The Supplier shall complete delivery within thirty （30） days after the effective date of the contract, on DDP （Delivered Duty Paid） terms, and transport the goods to the CNPC Bohai Drilling Iraq Branch's operating site or base camp located in Missan Province, Iraq. The Supplier shall bear all costs and risks associated with transportation, insurance, import/export customs clearance, duties, taxes, and all other related expenses prior to delivery.</w:t>
      </w:r>
    </w:p>
    <w:p w14:paraId="196BA48B">
      <w:pPr>
        <w:numPr>
          <w:ilvl w:val="0"/>
          <w:numId w:val="4"/>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Document Submission and Compliance，The Supplier shall submit the following documents （including but not limited to）:Certificate of Origin (COO); Commercial Invoice (CI); Third-Party Inspection (TPI) Certificate; Packing List (PL)Certificate of Conformity (e.g., API or ISO certificate)；Copy of Bill of Lading; Original Quality and Quantity Certificate issued by the manufacturer.</w:t>
      </w:r>
    </w:p>
    <w:p w14:paraId="51942F61">
      <w:pPr>
        <w:numPr>
          <w:ilvl w:val="0"/>
          <w:numId w:val="4"/>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Delivery Location: CNPC Bohai Drilling Iraq Branch – Missan Camp.</w:t>
      </w:r>
    </w:p>
    <w:p w14:paraId="3CEA86A3">
      <w:pPr>
        <w:numPr>
          <w:ilvl w:val="0"/>
          <w:numId w:val="4"/>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Service Term: This contract shall be valid for one (1) year from the effective date of signing.</w:t>
      </w:r>
    </w:p>
    <w:p w14:paraId="0C3BF25C">
      <w:pPr>
        <w:numPr>
          <w:ilvl w:val="0"/>
          <w:numId w:val="4"/>
        </w:numPr>
        <w:spacing w:line="360" w:lineRule="exact"/>
        <w:ind w:left="0" w:firstLine="0"/>
        <w:rPr>
          <w:rFonts w:ascii="Times New Roman" w:hAnsi="Times New Roman" w:eastAsia="方正仿宋简体" w:cs="Times New Roman"/>
          <w:sz w:val="22"/>
          <w:szCs w:val="22"/>
        </w:rPr>
      </w:pPr>
      <w:r>
        <w:rPr>
          <w:rFonts w:hint="eastAsia" w:ascii="Times New Roman" w:hAnsi="Times New Roman" w:eastAsia="方正仿宋简体" w:cs="Times New Roman"/>
          <w:sz w:val="22"/>
          <w:szCs w:val="22"/>
        </w:rPr>
        <w:t>The total procurement amount shall not exceed USD 380,000.</w:t>
      </w:r>
    </w:p>
    <w:p w14:paraId="72CD7069">
      <w:pPr>
        <w:rPr>
          <w:rFonts w:ascii="Times New Roman" w:hAnsi="Times New Roman" w:eastAsia="方正仿宋简体" w:cs="Times New Roman"/>
          <w:sz w:val="22"/>
          <w:szCs w:val="22"/>
        </w:rPr>
      </w:pPr>
      <w:r>
        <w:rPr>
          <w:rFonts w:ascii="Times New Roman" w:hAnsi="Times New Roman" w:eastAsia="方正仿宋简体" w:cs="Times New Roman"/>
          <w:sz w:val="22"/>
          <w:szCs w:val="22"/>
        </w:rPr>
        <w:br w:type="page"/>
      </w:r>
    </w:p>
    <w:p w14:paraId="523AF976">
      <w:pPr>
        <w:spacing w:line="360" w:lineRule="exact"/>
        <w:rPr>
          <w:rFonts w:ascii="Times New Roman" w:hAnsi="Times New Roman" w:eastAsia="方正仿宋简体" w:cs="Times New Roman"/>
          <w:sz w:val="22"/>
          <w:szCs w:val="22"/>
        </w:rPr>
        <w:sectPr>
          <w:pgSz w:w="16838" w:h="11906" w:orient="landscape"/>
          <w:pgMar w:top="1440" w:right="1440" w:bottom="1440" w:left="1440" w:header="851" w:footer="992" w:gutter="0"/>
          <w:cols w:space="0" w:num="1"/>
          <w:docGrid w:type="lines" w:linePitch="322" w:charSpace="0"/>
        </w:sectPr>
      </w:pPr>
    </w:p>
    <w:p w14:paraId="169AADA7">
      <w:pPr>
        <w:spacing w:line="360" w:lineRule="exact"/>
        <w:rPr>
          <w:rFonts w:ascii="Times New Roman" w:hAnsi="Times New Roman" w:eastAsia="方正仿宋简体" w:cs="Times New Roman"/>
          <w:sz w:val="22"/>
          <w:szCs w:val="22"/>
        </w:rPr>
      </w:pPr>
    </w:p>
    <w:p w14:paraId="470497B7">
      <w:pPr>
        <w:spacing w:line="360" w:lineRule="exact"/>
        <w:ind w:firstLine="442" w:firstLineChars="200"/>
        <w:jc w:val="center"/>
        <w:rPr>
          <w:rFonts w:ascii="Times New Roman" w:hAnsi="Times New Roman" w:eastAsia="方正黑体简体" w:cs="Times New Roman"/>
          <w:b/>
          <w:bCs/>
          <w:sz w:val="22"/>
          <w:szCs w:val="22"/>
        </w:rPr>
      </w:pPr>
    </w:p>
    <w:p w14:paraId="163D1C3A">
      <w:pPr>
        <w:spacing w:line="360" w:lineRule="exact"/>
        <w:ind w:firstLine="442" w:firstLineChars="200"/>
        <w:jc w:val="center"/>
        <w:rPr>
          <w:rFonts w:ascii="Times New Roman" w:hAnsi="Times New Roman" w:eastAsia="方正仿宋简体" w:cs="Times New Roman"/>
          <w:b/>
          <w:bCs/>
          <w:sz w:val="22"/>
          <w:szCs w:val="22"/>
        </w:rPr>
      </w:pPr>
      <w:r>
        <w:rPr>
          <w:rFonts w:ascii="Times New Roman" w:hAnsi="Times New Roman" w:eastAsia="方正黑体简体" w:cs="Times New Roman"/>
          <w:b/>
          <w:bCs/>
          <w:sz w:val="22"/>
          <w:szCs w:val="22"/>
        </w:rPr>
        <w:t>RELEVANT COMMITMENTS</w:t>
      </w:r>
    </w:p>
    <w:p w14:paraId="4170A141">
      <w:pPr>
        <w:spacing w:line="360" w:lineRule="exact"/>
        <w:ind w:firstLine="440" w:firstLineChars="200"/>
        <w:rPr>
          <w:rFonts w:ascii="Times New Roman" w:hAnsi="Times New Roman" w:eastAsia="方正仿宋简体" w:cs="Times New Roman"/>
          <w:sz w:val="22"/>
          <w:szCs w:val="22"/>
        </w:rPr>
      </w:pPr>
    </w:p>
    <w:p w14:paraId="18E71FB2">
      <w:pPr>
        <w:spacing w:line="360" w:lineRule="exact"/>
        <w:rPr>
          <w:rFonts w:ascii="Times New Roman" w:hAnsi="Times New Roman" w:eastAsia="方正仿宋简体" w:cs="Times New Roman"/>
          <w:sz w:val="22"/>
          <w:szCs w:val="22"/>
        </w:rPr>
      </w:pPr>
      <w:r>
        <w:rPr>
          <w:rFonts w:ascii="Times New Roman" w:hAnsi="Times New Roman" w:eastAsia="方正仿宋简体" w:cs="Times New Roman"/>
          <w:sz w:val="22"/>
          <w:szCs w:val="22"/>
        </w:rPr>
        <w:t>We hereby undertake:</w:t>
      </w:r>
    </w:p>
    <w:p w14:paraId="75B7A469">
      <w:pPr>
        <w:numPr>
          <w:ilvl w:val="0"/>
          <w:numId w:val="5"/>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Financial Commitment: We are not under any order of suspension of operations, nor are our assets under attachment, seizure, frozen, or in bankruptcy proceedings.</w:t>
      </w:r>
    </w:p>
    <w:p w14:paraId="212B4B8E">
      <w:pPr>
        <w:numPr>
          <w:ilvl w:val="0"/>
          <w:numId w:val="5"/>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Safety Commitment: We have not experienced any major quality accidents or safety incidents in the last three years.</w:t>
      </w:r>
    </w:p>
    <w:p w14:paraId="14FE405C">
      <w:pPr>
        <w:numPr>
          <w:ilvl w:val="0"/>
          <w:numId w:val="5"/>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Credit Commitment: We have not been included in the list of abnormal business operations or the list of seriously untrustworthy enterprises.</w:t>
      </w:r>
    </w:p>
    <w:p w14:paraId="78F7BE9E">
      <w:pPr>
        <w:numPr>
          <w:ilvl w:val="0"/>
          <w:numId w:val="5"/>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No Criminal Record Commitment: In the last three years, neither we nor our Legal Representative (or responsible person) nor the proposed project leader has any record of bribery or criminal offenses.</w:t>
      </w:r>
    </w:p>
    <w:p w14:paraId="5358B240">
      <w:pPr>
        <w:numPr>
          <w:ilvl w:val="0"/>
          <w:numId w:val="5"/>
        </w:numPr>
        <w:spacing w:line="360" w:lineRule="exact"/>
        <w:ind w:left="0" w:firstLine="0"/>
        <w:rPr>
          <w:rFonts w:ascii="Times New Roman" w:hAnsi="Times New Roman" w:eastAsia="方正仿宋简体" w:cs="Times New Roman"/>
          <w:sz w:val="22"/>
          <w:szCs w:val="22"/>
        </w:rPr>
      </w:pPr>
      <w:r>
        <w:rPr>
          <w:rFonts w:ascii="Times New Roman" w:hAnsi="Times New Roman" w:eastAsia="方正仿宋简体" w:cs="Times New Roman"/>
          <w:sz w:val="22"/>
          <w:szCs w:val="22"/>
        </w:rPr>
        <w:t>Bidding Qualification Commitment: Our bidding qualification has not been suspended or revoked in accordance with law, nor has our bidding qualification been suspended or revoked by China National Petroleum Corporation, nor has our bidding qualification been suspended or revoked by the Tenderee.</w:t>
      </w:r>
    </w:p>
    <w:p w14:paraId="0CBB2F06">
      <w:pPr>
        <w:spacing w:line="360" w:lineRule="exact"/>
        <w:ind w:firstLine="440" w:firstLineChars="200"/>
        <w:rPr>
          <w:rFonts w:ascii="Times New Roman" w:hAnsi="Times New Roman" w:eastAsia="方正仿宋简体" w:cs="Times New Roman"/>
          <w:sz w:val="22"/>
          <w:szCs w:val="22"/>
        </w:rPr>
      </w:pPr>
    </w:p>
    <w:p w14:paraId="0407B0A1">
      <w:pPr>
        <w:spacing w:line="360" w:lineRule="exact"/>
        <w:ind w:firstLine="440" w:firstLineChars="200"/>
        <w:rPr>
          <w:rFonts w:ascii="Times New Roman" w:hAnsi="Times New Roman" w:eastAsia="方正仿宋简体" w:cs="Times New Roman"/>
          <w:sz w:val="22"/>
          <w:szCs w:val="22"/>
        </w:rPr>
      </w:pPr>
    </w:p>
    <w:p w14:paraId="360FD3DA">
      <w:pPr>
        <w:spacing w:line="360" w:lineRule="exact"/>
        <w:rPr>
          <w:rFonts w:ascii="Times New Roman" w:hAnsi="Times New Roman" w:eastAsia="方正仿宋简体" w:cs="Times New Roman"/>
          <w:b/>
          <w:bCs/>
          <w:sz w:val="22"/>
          <w:szCs w:val="22"/>
        </w:rPr>
      </w:pPr>
    </w:p>
    <w:p w14:paraId="183F10FD">
      <w:pPr>
        <w:spacing w:line="360" w:lineRule="exac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Company Seal (Authorized Representative Signature):</w:t>
      </w:r>
    </w:p>
    <w:p w14:paraId="467B75A1">
      <w:pPr>
        <w:spacing w:line="360" w:lineRule="exact"/>
        <w:jc w:val="left"/>
        <w:rPr>
          <w:rFonts w:ascii="Times New Roman" w:hAnsi="Times New Roman" w:eastAsia="方正仿宋简体" w:cs="Times New Roman"/>
          <w:b/>
          <w:bCs/>
          <w:sz w:val="22"/>
          <w:szCs w:val="22"/>
        </w:rPr>
      </w:pPr>
      <w:r>
        <w:rPr>
          <w:rFonts w:ascii="Times New Roman" w:hAnsi="Times New Roman" w:eastAsia="方正仿宋简体" w:cs="Times New Roman"/>
          <w:b/>
          <w:bCs/>
          <w:sz w:val="22"/>
          <w:szCs w:val="22"/>
        </w:rPr>
        <w:t>[Date]</w:t>
      </w: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简体">
    <w:panose1 w:val="02000000000000000000"/>
    <w:charset w:val="86"/>
    <w:family w:val="script"/>
    <w:pitch w:val="default"/>
    <w:sig w:usb0="A00002BF" w:usb1="184F6CFA" w:usb2="00000012" w:usb3="00000000" w:csb0="00040001" w:csb1="00000000"/>
  </w:font>
  <w:font w:name="方正黑体简体">
    <w:panose1 w:val="02000000000000000000"/>
    <w:charset w:val="86"/>
    <w:family w:val="script"/>
    <w:pitch w:val="default"/>
    <w:sig w:usb0="A00002BF" w:usb1="184F6CFA" w:usb2="00000012" w:usb3="00000000" w:csb0="00040001" w:csb1="00000000"/>
  </w:font>
  <w:font w:name="Arial Unicode MS">
    <w:altName w:val="Malgun Gothic Semilight"/>
    <w:panose1 w:val="020B0604020202020204"/>
    <w:charset w:val="86"/>
    <w:family w:val="swiss"/>
    <w:pitch w:val="default"/>
    <w:sig w:usb0="00000000" w:usb1="00000000" w:usb2="0000003F" w:usb3="00000000" w:csb0="003F01FF" w:csb1="00000000"/>
  </w:font>
  <w:font w:name="方正小标宋简体">
    <w:panose1 w:val="02000000000000000000"/>
    <w:charset w:val="86"/>
    <w:family w:val="script"/>
    <w:pitch w:val="default"/>
    <w:sig w:usb0="A00002BF" w:usb1="184F6CFA" w:usb2="00000012" w:usb3="00000000" w:csb0="00040001"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4EDAA">
    <w:pPr>
      <w:pStyle w:val="5"/>
    </w:pPr>
    <w:r>
      <mc:AlternateContent>
        <mc:Choice Requires="wps">
          <w:drawing>
            <wp:anchor distT="0" distB="0" distL="114300" distR="114300" simplePos="0" relativeHeight="251660288" behindDoc="0" locked="0" layoutInCell="1" allowOverlap="1">
              <wp:simplePos x="0" y="0"/>
              <wp:positionH relativeFrom="margin">
                <wp:posOffset>4909185</wp:posOffset>
              </wp:positionH>
              <wp:positionV relativeFrom="paragraph">
                <wp:posOffset>-118110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ABF87E">
                          <w:pPr>
                            <w:pStyle w:val="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86.55pt;margin-top:-9.3pt;height:144pt;width:144pt;mso-position-horizontal-relative:margin;mso-wrap-style:none;z-index:251660288;mso-width-relative:page;mso-height-relative:page;" filled="f" stroked="f" coordsize="21600,21600" o:gfxdata="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KMmXh/ZAAAADAEAAA8AAAAAAAAAAQAgAAAAIgAAAGRycy9kb3ducmV2LnhtbFBLAQIU&#10;ABQAAAAIAIdO4kAFYYw/KwIAAFUEAAAOAAAAAAAAAAEAIAAAACgBAABkcnMvZTJvRG9jLnhtbFBL&#10;BQYAAAAABgAGAFkBAADFBQAAAAA=&#10;">
              <v:fill on="f" focussize="0,0"/>
              <v:stroke on="f" weight="0.5pt"/>
              <v:imagedata o:title=""/>
              <o:lock v:ext="edit" aspectratio="f"/>
              <v:textbox inset="0mm,0mm,0mm,0mm" style="mso-fit-shape-to-text:t;">
                <w:txbxContent>
                  <w:p w14:paraId="44ABF87E">
                    <w:pPr>
                      <w:pStyle w:val="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CDCF8">
    <w:pPr>
      <w:pStyle w:val="6"/>
      <w:jc w:val="right"/>
    </w:pPr>
    <w:r>
      <w:rPr>
        <w:rFonts w:hint="eastAsia" w:cs="Arial"/>
        <w:b/>
      </w:rPr>
      <w:drawing>
        <wp:anchor distT="0" distB="0" distL="114300" distR="114300" simplePos="0" relativeHeight="251659264" behindDoc="1" locked="0" layoutInCell="1" allowOverlap="1">
          <wp:simplePos x="0" y="0"/>
          <wp:positionH relativeFrom="column">
            <wp:posOffset>-31115</wp:posOffset>
          </wp:positionH>
          <wp:positionV relativeFrom="paragraph">
            <wp:posOffset>-133350</wp:posOffset>
          </wp:positionV>
          <wp:extent cx="1028700" cy="586105"/>
          <wp:effectExtent l="0" t="0" r="0" b="4445"/>
          <wp:wrapTight wrapText="bothSides">
            <wp:wrapPolygon>
              <wp:start x="0" y="0"/>
              <wp:lineTo x="0" y="21413"/>
              <wp:lineTo x="21400" y="21413"/>
              <wp:lineTo x="21400" y="0"/>
              <wp:lineTo x="0" y="0"/>
            </wp:wrapPolygon>
          </wp:wrapTight>
          <wp:docPr id="1" name="图片 16"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descr="QQ截图未命名"/>
                  <pic:cNvPicPr>
                    <a:picLocks noChangeAspect="1"/>
                  </pic:cNvPicPr>
                </pic:nvPicPr>
                <pic:blipFill>
                  <a:blip r:embed="rId1"/>
                  <a:stretch>
                    <a:fillRect/>
                  </a:stretch>
                </pic:blipFill>
                <pic:spPr>
                  <a:xfrm>
                    <a:off x="0" y="0"/>
                    <a:ext cx="1028700" cy="586105"/>
                  </a:xfrm>
                  <a:prstGeom prst="rect">
                    <a:avLst/>
                  </a:prstGeom>
                  <a:noFill/>
                  <a:ln>
                    <a:noFill/>
                  </a:ln>
                </pic:spPr>
              </pic:pic>
            </a:graphicData>
          </a:graphic>
        </wp:anchor>
      </w:drawing>
    </w:r>
  </w:p>
  <w:p w14:paraId="09F5C47A">
    <w:pPr>
      <w:pStyle w:val="6"/>
      <w:jc w:val="right"/>
    </w:pPr>
  </w:p>
  <w:p w14:paraId="347F4082">
    <w:pPr>
      <w:pStyle w:val="6"/>
      <w:jc w:val="right"/>
    </w:pPr>
    <w:r>
      <w:rPr>
        <w:rFonts w:hint="eastAsia"/>
      </w:rPr>
      <w:t>Tender No.  : BHDC-BID-2026-077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9CCF83"/>
    <w:multiLevelType w:val="singleLevel"/>
    <w:tmpl w:val="C19CCF83"/>
    <w:lvl w:ilvl="0" w:tentative="0">
      <w:start w:val="1"/>
      <w:numFmt w:val="decimal"/>
      <w:lvlText w:val="%1."/>
      <w:lvlJc w:val="left"/>
      <w:pPr>
        <w:ind w:left="425" w:hanging="425"/>
      </w:pPr>
      <w:rPr>
        <w:rFonts w:hint="default"/>
      </w:rPr>
    </w:lvl>
  </w:abstractNum>
  <w:abstractNum w:abstractNumId="1">
    <w:nsid w:val="DA4C73D8"/>
    <w:multiLevelType w:val="singleLevel"/>
    <w:tmpl w:val="DA4C73D8"/>
    <w:lvl w:ilvl="0" w:tentative="0">
      <w:start w:val="1"/>
      <w:numFmt w:val="decimal"/>
      <w:lvlText w:val="%1."/>
      <w:lvlJc w:val="left"/>
      <w:pPr>
        <w:ind w:left="425" w:hanging="425"/>
      </w:pPr>
      <w:rPr>
        <w:rFonts w:hint="default"/>
      </w:rPr>
    </w:lvl>
  </w:abstractNum>
  <w:abstractNum w:abstractNumId="2">
    <w:nsid w:val="E12BBE91"/>
    <w:multiLevelType w:val="singleLevel"/>
    <w:tmpl w:val="E12BBE91"/>
    <w:lvl w:ilvl="0" w:tentative="0">
      <w:start w:val="1"/>
      <w:numFmt w:val="bullet"/>
      <w:lvlText w:val=""/>
      <w:lvlJc w:val="left"/>
      <w:pPr>
        <w:ind w:left="420" w:hanging="420"/>
      </w:pPr>
      <w:rPr>
        <w:rFonts w:hint="default" w:ascii="Wingdings" w:hAnsi="Wingdings"/>
      </w:rPr>
    </w:lvl>
  </w:abstractNum>
  <w:abstractNum w:abstractNumId="3">
    <w:nsid w:val="4C9A7921"/>
    <w:multiLevelType w:val="singleLevel"/>
    <w:tmpl w:val="4C9A7921"/>
    <w:lvl w:ilvl="0" w:tentative="0">
      <w:start w:val="1"/>
      <w:numFmt w:val="bullet"/>
      <w:lvlText w:val=""/>
      <w:lvlJc w:val="left"/>
      <w:pPr>
        <w:ind w:left="420" w:hanging="420"/>
      </w:pPr>
      <w:rPr>
        <w:rFonts w:hint="default" w:ascii="Wingdings" w:hAnsi="Wingdings"/>
      </w:rPr>
    </w:lvl>
  </w:abstractNum>
  <w:abstractNum w:abstractNumId="4">
    <w:nsid w:val="5E534C60"/>
    <w:multiLevelType w:val="singleLevel"/>
    <w:tmpl w:val="5E534C60"/>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HorizontalSpacing w:val="105"/>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EF771F"/>
    <w:rsid w:val="000F7585"/>
    <w:rsid w:val="00171306"/>
    <w:rsid w:val="001E275F"/>
    <w:rsid w:val="00237A94"/>
    <w:rsid w:val="003D368E"/>
    <w:rsid w:val="004A2229"/>
    <w:rsid w:val="005461DA"/>
    <w:rsid w:val="005D0686"/>
    <w:rsid w:val="00663844"/>
    <w:rsid w:val="006D0659"/>
    <w:rsid w:val="00796DBB"/>
    <w:rsid w:val="007A4CED"/>
    <w:rsid w:val="00914418"/>
    <w:rsid w:val="00A1130F"/>
    <w:rsid w:val="00BF6B54"/>
    <w:rsid w:val="00D8225F"/>
    <w:rsid w:val="00DB086C"/>
    <w:rsid w:val="0EC05AA0"/>
    <w:rsid w:val="1AF3256B"/>
    <w:rsid w:val="2FC1665D"/>
    <w:rsid w:val="325E60BD"/>
    <w:rsid w:val="337E1610"/>
    <w:rsid w:val="37ED0D2D"/>
    <w:rsid w:val="39DC70D0"/>
    <w:rsid w:val="3C836EAE"/>
    <w:rsid w:val="5A2E393D"/>
    <w:rsid w:val="63EF771F"/>
    <w:rsid w:val="6570486F"/>
    <w:rsid w:val="6E410431"/>
    <w:rsid w:val="700506C0"/>
    <w:rsid w:val="76B533CE"/>
    <w:rsid w:val="7A110FE6"/>
    <w:rsid w:val="7CDE0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after="120" w:line="440" w:lineRule="exact"/>
      <w:outlineLvl w:val="1"/>
    </w:pPr>
    <w:rPr>
      <w:rFonts w:ascii="Cambria" w:hAnsi="Cambria" w:eastAsia="宋体" w:cs="Times New Roman"/>
      <w:b/>
      <w:bCs/>
      <w:sz w:val="28"/>
      <w:szCs w:val="32"/>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99"/>
    <w:pPr>
      <w:tabs>
        <w:tab w:val="left" w:pos="426"/>
        <w:tab w:val="left" w:pos="709"/>
        <w:tab w:val="left" w:pos="1482"/>
        <w:tab w:val="left" w:pos="1752"/>
        <w:tab w:val="left" w:pos="2052"/>
        <w:tab w:val="left" w:pos="2337"/>
        <w:tab w:val="left" w:pos="2592"/>
        <w:tab w:val="left" w:pos="2907"/>
        <w:tab w:val="left" w:pos="3207"/>
        <w:tab w:val="left" w:pos="3477"/>
        <w:tab w:val="left" w:pos="3747"/>
        <w:tab w:val="left" w:pos="4047"/>
        <w:tab w:val="left" w:pos="4332"/>
        <w:tab w:val="left" w:pos="4617"/>
        <w:tab w:val="left" w:pos="4902"/>
      </w:tabs>
      <w:spacing w:line="360" w:lineRule="exact"/>
      <w:ind w:left="424" w:hanging="424" w:hangingChars="202"/>
    </w:pPr>
    <w:rPr>
      <w:rFonts w:ascii="Arial" w:hAnsi="Arial" w:eastAsia="宋体"/>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paragraph" w:styleId="11">
    <w:name w:val="List Paragraph"/>
    <w:basedOn w:val="1"/>
    <w:qFormat/>
    <w:uiPriority w:val="99"/>
    <w:pPr>
      <w:ind w:firstLine="420"/>
    </w:pPr>
  </w:style>
  <w:style w:type="character" w:customStyle="1" w:styleId="12">
    <w:name w:val="MSG_EN_FONT_STYLE_NAME_TEMPLATE_ROLE MSG_EN_FONT_STYLE_NAME_BY_ROLE_TEXT_"/>
    <w:link w:val="13"/>
    <w:qFormat/>
    <w:uiPriority w:val="0"/>
    <w:rPr>
      <w:rFonts w:ascii="Arial" w:hAnsi="Arial" w:eastAsia="Arial" w:cs="Arial"/>
      <w:sz w:val="16"/>
      <w:szCs w:val="16"/>
    </w:rPr>
  </w:style>
  <w:style w:type="paragraph" w:customStyle="1" w:styleId="13">
    <w:name w:val="MSG_EN_FONT_STYLE_NAME_TEMPLATE_ROLE MSG_EN_FONT_STYLE_NAME_BY_ROLE_TEXT"/>
    <w:basedOn w:val="1"/>
    <w:link w:val="12"/>
    <w:qFormat/>
    <w:uiPriority w:val="0"/>
    <w:pPr>
      <w:shd w:val="clear" w:color="auto" w:fill="FFFFFF"/>
      <w:spacing w:before="300" w:line="432" w:lineRule="exact"/>
      <w:ind w:hanging="480"/>
    </w:pPr>
    <w:rPr>
      <w:rFonts w:ascii="Arial" w:hAnsi="Arial" w:eastAsia="Arial" w:cs="Arial"/>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10500</Words>
  <Characters>11025</Characters>
  <Lines>612</Lines>
  <Paragraphs>566</Paragraphs>
  <TotalTime>22</TotalTime>
  <ScaleCrop>false</ScaleCrop>
  <LinksUpToDate>false</LinksUpToDate>
  <CharactersWithSpaces>20959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2026-06-17T01:13:00Z</dcterms:created>
  <dc:creator>叶玉君</dc:creator>
  <cp:lastModifiedBy>Administrator</cp:lastModifiedBy>
  <dcterms:modified xsi:type="dcterms:W3CDTF">2026-09-18T06:29:37Z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86022880D332462DA6874EC33806965A</vt:lpwstr>
  </property>
  <property fmtid="{D5CDD505-2E9C-101B-9397-08002B2CF9AE}" pid="4" name="KSOTemplateDocerSaveRecord">
    <vt:lpwstr>eyJoZGlkIjoiMzEwNTM5NzYwMDRjMzkwZTVkZjY2ODkwMGIxNGU0OTUiLCJ1c2VySWQiOiIxNzY1NzY1MjY5In0=</vt:lpwstr>
  </property>
</Properties>
</file>